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D05" w:rsidRDefault="00166D05" w:rsidP="00B93045">
      <w:pPr>
        <w:pStyle w:val="Nagwek4"/>
      </w:pPr>
      <w:r>
        <w:t xml:space="preserve">                                                                                                      Załącznik nr 2a</w:t>
      </w:r>
    </w:p>
    <w:p w:rsidR="0003150B" w:rsidRDefault="00864D2B" w:rsidP="00B93045">
      <w:pPr>
        <w:pStyle w:val="Nagwek4"/>
      </w:pPr>
      <w:r>
        <w:t>Zakup i instalacja centrali telefonicznej  wraz z operatorskim łączem szerokopasmowym</w:t>
      </w:r>
    </w:p>
    <w:p w:rsidR="0003150B" w:rsidRDefault="0003150B" w:rsidP="00B93045">
      <w:pPr>
        <w:pStyle w:val="Nagwek4"/>
      </w:pPr>
    </w:p>
    <w:p w:rsidR="0003150B" w:rsidRDefault="0003150B" w:rsidP="00B93045">
      <w:pPr>
        <w:pStyle w:val="Nagwek4"/>
      </w:pPr>
    </w:p>
    <w:p w:rsidR="001F5D9D" w:rsidRPr="003802D0" w:rsidRDefault="003E6347" w:rsidP="001F5D9D">
      <w:pPr>
        <w:ind w:left="1701" w:hanging="1701"/>
        <w:rPr>
          <w:rFonts w:cs="Calibri"/>
          <w:sz w:val="20"/>
        </w:rPr>
      </w:pPr>
      <w:r>
        <w:t>Wymagania dla</w:t>
      </w:r>
      <w:r w:rsidR="009C1064">
        <w:t xml:space="preserve"> </w:t>
      </w:r>
      <w:r w:rsidR="001F5D9D" w:rsidRPr="001F5D9D">
        <w:rPr>
          <w:rFonts w:cs="Calibri"/>
          <w:szCs w:val="24"/>
        </w:rPr>
        <w:t xml:space="preserve">Centrali telefonicznej </w:t>
      </w:r>
      <w:r w:rsidR="001F5D9D">
        <w:rPr>
          <w:rFonts w:cs="Calibri"/>
          <w:szCs w:val="24"/>
        </w:rPr>
        <w:t xml:space="preserve">z możliwością podłączenia łącza </w:t>
      </w:r>
      <w:r w:rsidR="001F5D9D" w:rsidRPr="001F5D9D">
        <w:rPr>
          <w:rFonts w:cs="Calibri"/>
          <w:szCs w:val="24"/>
        </w:rPr>
        <w:t>szerokopasmowego do operatora – 1 szt.</w:t>
      </w:r>
    </w:p>
    <w:p w:rsidR="00B7105E" w:rsidRDefault="00B7105E" w:rsidP="00B93045">
      <w:pPr>
        <w:pStyle w:val="Nagwek4"/>
      </w:pPr>
    </w:p>
    <w:p w:rsidR="00B93045" w:rsidRPr="00FB42B3" w:rsidRDefault="00B93045" w:rsidP="00B93045">
      <w:pPr>
        <w:pStyle w:val="Nagwek4"/>
      </w:pPr>
    </w:p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B93045" w:rsidRPr="00FB42B3" w:rsidTr="00F63F96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93045" w:rsidRPr="00A57E33" w:rsidRDefault="00B93045" w:rsidP="0018215F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93045" w:rsidRPr="00A57E33" w:rsidRDefault="005F666C" w:rsidP="0018215F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93045" w:rsidRPr="00A57E33" w:rsidRDefault="00B93045" w:rsidP="0018215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B93045" w:rsidRPr="00A57E33" w:rsidRDefault="00B93045" w:rsidP="0018215F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B93045" w:rsidRPr="00A57E33" w:rsidRDefault="00B93045" w:rsidP="0018215F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CE3B01" w:rsidRPr="00FC790D" w:rsidTr="004153B9">
        <w:trPr>
          <w:trHeight w:hRule="exact" w:val="112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E3B01" w:rsidRPr="00FC790D" w:rsidRDefault="00CE3B01" w:rsidP="00FF02EF">
            <w:pPr>
              <w:pStyle w:val="Tekstkomentarza"/>
              <w:numPr>
                <w:ilvl w:val="0"/>
                <w:numId w:val="5"/>
              </w:numPr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  <w:tr2bl w:val="nil"/>
            </w:tcBorders>
            <w:vAlign w:val="center"/>
          </w:tcPr>
          <w:p w:rsidR="00CE3B01" w:rsidRPr="00F95248" w:rsidRDefault="00CE3B01" w:rsidP="00EF055E">
            <w:pPr>
              <w:ind w:left="102"/>
              <w:rPr>
                <w:rFonts w:asciiTheme="minorHAnsi" w:hAnsiTheme="minorHAnsi" w:cs="Calibri"/>
                <w:sz w:val="20"/>
              </w:rPr>
            </w:pPr>
            <w:r w:rsidRPr="00591D55">
              <w:rPr>
                <w:rFonts w:asciiTheme="minorHAnsi" w:hAnsiTheme="minorHAnsi" w:cs="Calibri"/>
                <w:sz w:val="20"/>
              </w:rPr>
              <w:t>centrala z modu</w:t>
            </w:r>
            <w:r w:rsidR="00726D85" w:rsidRPr="00591D55">
              <w:rPr>
                <w:rFonts w:asciiTheme="minorHAnsi" w:hAnsiTheme="minorHAnsi" w:cs="Calibri"/>
                <w:sz w:val="20"/>
              </w:rPr>
              <w:t xml:space="preserve">łami linii analogowych umożliwiającymi </w:t>
            </w:r>
            <w:r w:rsidRPr="00591D55">
              <w:rPr>
                <w:rFonts w:asciiTheme="minorHAnsi" w:hAnsiTheme="minorHAnsi" w:cs="Calibri"/>
                <w:sz w:val="20"/>
              </w:rPr>
              <w:t>obsługę posiadanych już przez Szpital  telefonów</w:t>
            </w:r>
            <w:r w:rsidR="00EF055E" w:rsidRPr="00591D55">
              <w:rPr>
                <w:rFonts w:asciiTheme="minorHAnsi" w:hAnsiTheme="minorHAnsi" w:cs="Calibri"/>
                <w:sz w:val="20"/>
              </w:rPr>
              <w:t xml:space="preserve"> analogowych  bez potrzeby budowy nowej infrastruktury telekomunikacyjnej </w:t>
            </w:r>
            <w:r w:rsidR="00B64E8A">
              <w:rPr>
                <w:rFonts w:asciiTheme="minorHAnsi" w:hAnsiTheme="minorHAnsi" w:cs="Calibri"/>
                <w:sz w:val="20"/>
              </w:rPr>
              <w:t xml:space="preserve">dla linii wewnętrznych </w:t>
            </w:r>
            <w:r w:rsidR="00EF055E" w:rsidRPr="00591D55">
              <w:rPr>
                <w:rFonts w:asciiTheme="minorHAnsi" w:hAnsiTheme="minorHAnsi" w:cs="Calibri"/>
                <w:sz w:val="20"/>
              </w:rPr>
              <w:t>w szpitalu</w:t>
            </w:r>
            <w:r w:rsidRPr="00591D55">
              <w:rPr>
                <w:rFonts w:asciiTheme="minorHAnsi" w:hAnsiTheme="minorHAnsi" w:cs="Calibri"/>
                <w:sz w:val="20"/>
              </w:rPr>
              <w:t xml:space="preserve">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  <w:right w:val="single" w:sz="6" w:space="0" w:color="002060"/>
            </w:tcBorders>
            <w:vAlign w:val="center"/>
          </w:tcPr>
          <w:p w:rsidR="00CE3B01" w:rsidRPr="00FC790D" w:rsidRDefault="00CE3B01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left w:val="single" w:sz="6" w:space="0" w:color="002060"/>
              <w:bottom w:val="single" w:sz="12" w:space="0" w:color="000080"/>
            </w:tcBorders>
          </w:tcPr>
          <w:p w:rsidR="00CE3B01" w:rsidRPr="00FC790D" w:rsidRDefault="00CE3B01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E3B01" w:rsidRPr="00FC790D" w:rsidRDefault="00CE3B01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21E52" w:rsidRPr="00FC790D" w:rsidTr="002F4DAC">
        <w:trPr>
          <w:trHeight w:hRule="exact" w:val="91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21E52" w:rsidRPr="00FC790D" w:rsidRDefault="00D21E52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D21E52" w:rsidRPr="00F95248" w:rsidRDefault="00002D32" w:rsidP="0036216D">
            <w:pPr>
              <w:pStyle w:val="Tabela1"/>
              <w:ind w:left="102" w:right="50"/>
              <w:jc w:val="both"/>
              <w:rPr>
                <w:rFonts w:asciiTheme="minorHAnsi" w:hAnsiTheme="minorHAnsi" w:cs="Calibri"/>
                <w:sz w:val="20"/>
              </w:rPr>
            </w:pPr>
            <w:r w:rsidRPr="00002D32">
              <w:rPr>
                <w:rFonts w:asciiTheme="minorHAnsi" w:hAnsiTheme="minorHAnsi" w:cs="Calibri"/>
                <w:sz w:val="20"/>
              </w:rPr>
              <w:t>Taryfikowanie rozmów telefonicznych</w:t>
            </w:r>
            <w:r>
              <w:rPr>
                <w:rFonts w:asciiTheme="minorHAnsi" w:hAnsiTheme="minorHAnsi" w:cs="Calibri"/>
                <w:sz w:val="20"/>
              </w:rPr>
              <w:t xml:space="preserve"> - </w:t>
            </w:r>
            <w:r w:rsidRPr="00002D32">
              <w:rPr>
                <w:rFonts w:asciiTheme="minorHAnsi" w:hAnsiTheme="minorHAnsi" w:cs="Calibri"/>
                <w:sz w:val="20"/>
              </w:rPr>
              <w:t>Możliwość taryfikowania połączeń zewnętrznych i wewnętrznych</w:t>
            </w:r>
            <w:r w:rsidR="0036216D">
              <w:rPr>
                <w:rFonts w:asciiTheme="minorHAnsi" w:hAnsiTheme="minorHAnsi" w:cs="Calibri"/>
                <w:sz w:val="20"/>
              </w:rPr>
              <w:t xml:space="preserve">; raportowanie </w:t>
            </w:r>
            <w:r w:rsidR="002F4DAC">
              <w:rPr>
                <w:rFonts w:asciiTheme="minorHAnsi" w:hAnsiTheme="minorHAnsi" w:cs="Calibri"/>
                <w:sz w:val="20"/>
              </w:rPr>
              <w:t>za pomocą dedykowanej aplikacji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D21E52" w:rsidRPr="00FC790D" w:rsidRDefault="00D21E52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D21E52" w:rsidRPr="00FC790D" w:rsidRDefault="00D21E52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21E52" w:rsidRPr="00FC790D" w:rsidRDefault="00D21E52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23C8C" w:rsidRPr="00FC790D" w:rsidTr="005503F5">
        <w:trPr>
          <w:trHeight w:hRule="exact" w:val="59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23C8C" w:rsidRPr="00FC790D" w:rsidRDefault="00823C8C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23C8C" w:rsidRPr="00F95248" w:rsidRDefault="0073574D" w:rsidP="002E0E45">
            <w:pPr>
              <w:pStyle w:val="Tabela1"/>
              <w:ind w:left="102" w:right="50"/>
              <w:jc w:val="both"/>
              <w:rPr>
                <w:rFonts w:asciiTheme="minorHAnsi" w:hAnsiTheme="minorHAnsi" w:cs="Calibri"/>
                <w:sz w:val="20"/>
              </w:rPr>
            </w:pPr>
            <w:r w:rsidRPr="00A61509">
              <w:rPr>
                <w:rFonts w:asciiTheme="minorHAnsi" w:hAnsiTheme="minorHAnsi" w:cs="Calibri"/>
                <w:sz w:val="20"/>
              </w:rPr>
              <w:t>system kont indywidualnych dla poszczególnych linii wewnętrznych</w:t>
            </w:r>
            <w:r>
              <w:rPr>
                <w:rFonts w:asciiTheme="minorHAnsi" w:hAnsiTheme="minorHAnsi" w:cs="Calibri"/>
                <w:sz w:val="20"/>
              </w:rPr>
              <w:t xml:space="preserve">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23C8C" w:rsidRPr="00FC790D" w:rsidRDefault="00823C8C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23C8C" w:rsidRPr="00FC790D" w:rsidRDefault="00823C8C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23C8C" w:rsidRPr="00FC790D" w:rsidRDefault="00823C8C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264D53" w:rsidRPr="00FC790D" w:rsidTr="00DE7E07">
        <w:trPr>
          <w:trHeight w:hRule="exact" w:val="77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264D53" w:rsidRPr="00FC790D" w:rsidRDefault="00264D53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64D53" w:rsidRPr="00F95248" w:rsidRDefault="00656F02" w:rsidP="004870AD">
            <w:pPr>
              <w:pStyle w:val="Tabela1"/>
              <w:ind w:left="102"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Oprogramowanie umożliwiające </w:t>
            </w:r>
            <w:r w:rsidR="00264D53" w:rsidRPr="00264D53">
              <w:rPr>
                <w:rFonts w:asciiTheme="minorHAnsi" w:hAnsiTheme="minorHAnsi" w:cs="Calibri"/>
                <w:sz w:val="20"/>
              </w:rPr>
              <w:t>indywidualne</w:t>
            </w:r>
            <w:r>
              <w:rPr>
                <w:rFonts w:asciiTheme="minorHAnsi" w:hAnsiTheme="minorHAnsi" w:cs="Calibri"/>
                <w:sz w:val="20"/>
              </w:rPr>
              <w:t xml:space="preserve"> rozliczanie</w:t>
            </w:r>
            <w:r w:rsidR="007A0E04">
              <w:rPr>
                <w:rFonts w:asciiTheme="minorHAnsi" w:hAnsiTheme="minorHAnsi" w:cs="Calibri"/>
                <w:sz w:val="20"/>
              </w:rPr>
              <w:t xml:space="preserve"> </w:t>
            </w:r>
            <w:r w:rsidR="00264D53" w:rsidRPr="00264D53">
              <w:rPr>
                <w:rFonts w:asciiTheme="minorHAnsi" w:hAnsiTheme="minorHAnsi" w:cs="Calibri"/>
                <w:sz w:val="20"/>
              </w:rPr>
              <w:t>kosztów rozmów telefonicznych</w:t>
            </w:r>
            <w:r w:rsidR="00264D53">
              <w:rPr>
                <w:rFonts w:asciiTheme="minorHAnsi" w:hAnsiTheme="minorHAnsi" w:cs="Calibri"/>
                <w:sz w:val="20"/>
              </w:rPr>
              <w:t xml:space="preserve"> z poszczególnych linii wewnętrznych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64D53" w:rsidRPr="00FC790D" w:rsidRDefault="00264D53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264D53" w:rsidRPr="00FC790D" w:rsidRDefault="00264D53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264D53" w:rsidRPr="00FC790D" w:rsidRDefault="00264D53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5007D" w:rsidRPr="00FC790D" w:rsidTr="00823C44">
        <w:trPr>
          <w:trHeight w:hRule="exact" w:val="92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5007D" w:rsidRPr="00FC790D" w:rsidRDefault="0035007D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5007D" w:rsidRDefault="0035007D" w:rsidP="005503F5">
            <w:pPr>
              <w:pStyle w:val="Tabela1"/>
              <w:ind w:left="102"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Możliwość ograniczania</w:t>
            </w:r>
            <w:r w:rsidRPr="0035007D">
              <w:rPr>
                <w:rFonts w:asciiTheme="minorHAnsi" w:hAnsiTheme="minorHAnsi" w:cs="Calibri"/>
                <w:sz w:val="20"/>
              </w:rPr>
              <w:t xml:space="preserve"> niepożądanych</w:t>
            </w:r>
            <w:r>
              <w:rPr>
                <w:rFonts w:asciiTheme="minorHAnsi" w:hAnsiTheme="minorHAnsi" w:cs="Calibri"/>
                <w:sz w:val="20"/>
              </w:rPr>
              <w:t xml:space="preserve"> </w:t>
            </w:r>
            <w:r w:rsidRPr="0035007D">
              <w:rPr>
                <w:rFonts w:asciiTheme="minorHAnsi" w:hAnsiTheme="minorHAnsi" w:cs="Calibri"/>
                <w:sz w:val="20"/>
              </w:rPr>
              <w:t>połączeń</w:t>
            </w:r>
            <w:r w:rsidR="005503F5">
              <w:rPr>
                <w:rFonts w:asciiTheme="minorHAnsi" w:hAnsiTheme="minorHAnsi" w:cs="Calibri"/>
                <w:sz w:val="20"/>
              </w:rPr>
              <w:t>: konfiguracja w Centrali blokowania połączeń wychodzących do  numerów PREMIUM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5007D" w:rsidRDefault="0035007D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5007D" w:rsidRPr="00FC790D" w:rsidRDefault="0035007D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5007D" w:rsidRPr="00FC790D" w:rsidRDefault="0035007D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652E58" w:rsidRPr="00FC790D" w:rsidTr="00360A89">
        <w:trPr>
          <w:trHeight w:hRule="exact" w:val="58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52E58" w:rsidRPr="00FC790D" w:rsidRDefault="00652E58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52E58" w:rsidRPr="00652E58" w:rsidRDefault="00152BA9" w:rsidP="006B4080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 w:rsidRPr="00152BA9">
              <w:rPr>
                <w:rFonts w:asciiTheme="minorHAnsi" w:hAnsiTheme="minorHAnsi" w:cs="Arial"/>
                <w:sz w:val="20"/>
              </w:rPr>
              <w:t xml:space="preserve">szkolenia pracowników </w:t>
            </w:r>
            <w:r w:rsidR="006826DB">
              <w:rPr>
                <w:rFonts w:asciiTheme="minorHAnsi" w:hAnsiTheme="minorHAnsi" w:cs="Arial"/>
                <w:sz w:val="20"/>
              </w:rPr>
              <w:t xml:space="preserve">szpitala </w:t>
            </w:r>
            <w:r w:rsidR="00823C44">
              <w:rPr>
                <w:rFonts w:asciiTheme="minorHAnsi" w:hAnsiTheme="minorHAnsi" w:cs="Arial"/>
                <w:sz w:val="20"/>
              </w:rPr>
              <w:t xml:space="preserve">z </w:t>
            </w:r>
            <w:r w:rsidRPr="00152BA9">
              <w:rPr>
                <w:rFonts w:asciiTheme="minorHAnsi" w:hAnsiTheme="minorHAnsi" w:cs="Arial"/>
                <w:sz w:val="20"/>
              </w:rPr>
              <w:t xml:space="preserve">zarządzania </w:t>
            </w:r>
            <w:r w:rsidR="00823C44">
              <w:rPr>
                <w:rFonts w:asciiTheme="minorHAnsi" w:hAnsiTheme="minorHAnsi" w:cs="Arial"/>
                <w:sz w:val="20"/>
              </w:rPr>
              <w:t>i obsługi centrali</w:t>
            </w:r>
            <w:r w:rsidR="00BA025C">
              <w:rPr>
                <w:rFonts w:asciiTheme="minorHAnsi" w:hAnsiTheme="minorHAnsi" w:cs="Arial"/>
                <w:sz w:val="20"/>
              </w:rPr>
              <w:t xml:space="preserve"> – min. 3 osoby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52E58" w:rsidRPr="00FC790D" w:rsidRDefault="00652E58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652E58" w:rsidRPr="00FC790D" w:rsidRDefault="00652E58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52E58" w:rsidRPr="00FC790D" w:rsidRDefault="00652E58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AF19B0" w:rsidRPr="00FC790D" w:rsidTr="007D381B">
        <w:trPr>
          <w:trHeight w:hRule="exact" w:val="97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AF19B0" w:rsidRPr="00FC790D" w:rsidRDefault="00AF19B0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F19B0" w:rsidRPr="00652E58" w:rsidRDefault="003312B3" w:rsidP="00402B88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 w:rsidRPr="00D0402F">
              <w:rPr>
                <w:rFonts w:asciiTheme="minorHAnsi" w:hAnsiTheme="minorHAnsi" w:cs="Arial"/>
                <w:sz w:val="20"/>
              </w:rPr>
              <w:t>Uruchomienie infolinii dla pacjentów z przystępnym numerem 801</w:t>
            </w:r>
            <w:r w:rsidR="00A8159A" w:rsidRPr="00D0402F">
              <w:rPr>
                <w:rFonts w:asciiTheme="minorHAnsi" w:hAnsiTheme="minorHAnsi" w:cs="Arial"/>
                <w:sz w:val="20"/>
              </w:rPr>
              <w:t xml:space="preserve"> wraz z możliwością prowadzenia min. </w:t>
            </w:r>
            <w:r w:rsidR="00402B88" w:rsidRPr="00D0402F">
              <w:rPr>
                <w:rFonts w:asciiTheme="minorHAnsi" w:hAnsiTheme="minorHAnsi" w:cs="Arial"/>
                <w:sz w:val="20"/>
              </w:rPr>
              <w:t>8</w:t>
            </w:r>
            <w:r w:rsidR="00A8159A" w:rsidRPr="00D0402F">
              <w:rPr>
                <w:rFonts w:asciiTheme="minorHAnsi" w:hAnsiTheme="minorHAnsi" w:cs="Arial"/>
                <w:sz w:val="20"/>
              </w:rPr>
              <w:t xml:space="preserve">  rozmów jednocześnie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F19B0" w:rsidRDefault="00AA70B6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AF19B0" w:rsidRPr="00FC790D" w:rsidRDefault="00AF19B0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AF19B0" w:rsidRPr="00FC790D" w:rsidRDefault="00AF19B0" w:rsidP="0028037B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AA70B6" w:rsidRPr="00FC790D" w:rsidTr="0085161D">
        <w:trPr>
          <w:trHeight w:hRule="exact" w:val="65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AA70B6" w:rsidRPr="00FC790D" w:rsidRDefault="00AA70B6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5161D" w:rsidRDefault="0085161D" w:rsidP="0085161D">
            <w:pPr>
              <w:pStyle w:val="Tabela1"/>
              <w:snapToGrid w:val="0"/>
              <w:ind w:left="0"/>
              <w:jc w:val="both"/>
              <w:rPr>
                <w:rFonts w:asciiTheme="minorHAnsi" w:hAnsiTheme="minorHAnsi" w:cs="Arial"/>
                <w:sz w:val="20"/>
              </w:rPr>
            </w:pPr>
            <w:bookmarkStart w:id="0" w:name="_GoBack"/>
            <w:bookmarkEnd w:id="0"/>
            <w:r>
              <w:rPr>
                <w:rFonts w:asciiTheme="minorHAnsi" w:hAnsiTheme="minorHAnsi" w:cs="Arial"/>
                <w:sz w:val="20"/>
              </w:rPr>
              <w:t xml:space="preserve"> Min Certyfikat </w:t>
            </w:r>
            <w:r w:rsidR="000E2189">
              <w:rPr>
                <w:rFonts w:asciiTheme="minorHAnsi" w:hAnsiTheme="minorHAnsi" w:cs="Arial"/>
                <w:sz w:val="20"/>
              </w:rPr>
              <w:t xml:space="preserve"> ISO 9001</w:t>
            </w:r>
            <w:r>
              <w:rPr>
                <w:rFonts w:asciiTheme="minorHAnsi" w:hAnsiTheme="minorHAnsi" w:cs="Arial"/>
                <w:sz w:val="20"/>
              </w:rPr>
              <w:t xml:space="preserve"> lub równoważny dla </w:t>
            </w:r>
          </w:p>
          <w:p w:rsidR="00AA70B6" w:rsidRDefault="0085161D" w:rsidP="006B4080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Producent</w:t>
            </w:r>
            <w:r>
              <w:rPr>
                <w:rFonts w:asciiTheme="minorHAnsi" w:hAnsiTheme="minorHAnsi" w:cs="Arial"/>
                <w:sz w:val="20"/>
              </w:rPr>
              <w:t>a</w:t>
            </w:r>
            <w:r>
              <w:rPr>
                <w:rFonts w:asciiTheme="minorHAnsi" w:hAnsiTheme="minorHAnsi" w:cs="Arial"/>
                <w:sz w:val="20"/>
              </w:rPr>
              <w:t xml:space="preserve"> Centrali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A70B6" w:rsidRDefault="00C449F2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AA70B6" w:rsidRPr="00FC790D" w:rsidRDefault="00AA70B6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AA70B6" w:rsidRPr="00FC790D" w:rsidRDefault="00AA70B6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273D04" w:rsidRPr="00FC790D" w:rsidTr="00A55B37">
        <w:trPr>
          <w:trHeight w:hRule="exact" w:val="70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273D04" w:rsidRPr="00FC790D" w:rsidRDefault="00273D04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73D04" w:rsidRDefault="00CD4872" w:rsidP="006B4080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 w:rsidRPr="00531465">
              <w:rPr>
                <w:rFonts w:asciiTheme="minorHAnsi" w:hAnsiTheme="minorHAnsi" w:cs="Arial"/>
                <w:sz w:val="20"/>
              </w:rPr>
              <w:t xml:space="preserve">Gwarancja </w:t>
            </w:r>
            <w:r w:rsidR="00323ED8" w:rsidRPr="00531465">
              <w:rPr>
                <w:rFonts w:asciiTheme="minorHAnsi" w:hAnsiTheme="minorHAnsi" w:cs="Arial"/>
                <w:sz w:val="20"/>
              </w:rPr>
              <w:t xml:space="preserve">i bezpłatny serwis </w:t>
            </w:r>
            <w:r w:rsidRPr="00531465">
              <w:rPr>
                <w:rFonts w:asciiTheme="minorHAnsi" w:hAnsiTheme="minorHAnsi" w:cs="Arial"/>
                <w:sz w:val="20"/>
              </w:rPr>
              <w:t>na zakupioną Centralę - min. 36 miesięcy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73D04" w:rsidRDefault="00CD4872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273D04" w:rsidRPr="00FC790D" w:rsidRDefault="00273D04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273D04" w:rsidRPr="00FC790D" w:rsidRDefault="00273D04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273D04" w:rsidRPr="00FC790D" w:rsidTr="00A55B37">
        <w:trPr>
          <w:trHeight w:hRule="exact" w:val="41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273D04" w:rsidRPr="00FC790D" w:rsidRDefault="00273D04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73D04" w:rsidRDefault="006900F1" w:rsidP="00A63921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 w:rsidRPr="00B05617">
              <w:rPr>
                <w:rFonts w:asciiTheme="minorHAnsi" w:hAnsiTheme="minorHAnsi" w:cs="Arial"/>
                <w:sz w:val="20"/>
              </w:rPr>
              <w:t xml:space="preserve">Hybrydowa </w:t>
            </w:r>
            <w:r w:rsidR="00323ED8" w:rsidRPr="00B05617">
              <w:rPr>
                <w:rFonts w:asciiTheme="minorHAnsi" w:hAnsiTheme="minorHAnsi" w:cs="Arial"/>
                <w:sz w:val="20"/>
              </w:rPr>
              <w:t xml:space="preserve">Centrala </w:t>
            </w:r>
            <w:r w:rsidR="00590720" w:rsidRPr="00B05617">
              <w:rPr>
                <w:rFonts w:asciiTheme="minorHAnsi" w:hAnsiTheme="minorHAnsi" w:cs="Arial"/>
                <w:sz w:val="20"/>
              </w:rPr>
              <w:t>telefoniczna typu IP P</w:t>
            </w:r>
            <w:r w:rsidR="0058424C" w:rsidRPr="00B05617">
              <w:rPr>
                <w:rFonts w:asciiTheme="minorHAnsi" w:hAnsiTheme="minorHAnsi" w:cs="Arial"/>
                <w:sz w:val="20"/>
              </w:rPr>
              <w:t>A</w:t>
            </w:r>
            <w:r w:rsidR="00A63921" w:rsidRPr="00B05617">
              <w:rPr>
                <w:rFonts w:asciiTheme="minorHAnsi" w:hAnsiTheme="minorHAnsi" w:cs="Arial"/>
                <w:sz w:val="20"/>
              </w:rPr>
              <w:t>BX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73D04" w:rsidRDefault="00323ED8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273D04" w:rsidRPr="00FC790D" w:rsidRDefault="00273D04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273D04" w:rsidRPr="00FC790D" w:rsidRDefault="00273D04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A74BA" w:rsidRPr="00FC790D" w:rsidTr="00B64E8A">
        <w:trPr>
          <w:trHeight w:hRule="exact" w:val="196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A74BA" w:rsidRPr="00FC790D" w:rsidRDefault="003A74BA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A74BA" w:rsidRPr="000B1B5F" w:rsidRDefault="004A48E2" w:rsidP="00755CF2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 w:rsidRPr="000B1B5F">
              <w:rPr>
                <w:rFonts w:asciiTheme="minorHAnsi" w:hAnsiTheme="minorHAnsi" w:cs="Arial"/>
                <w:sz w:val="20"/>
              </w:rPr>
              <w:t xml:space="preserve">Hybrydowa Centrala telefoniczna typu IP PABX wraz z asortymentem dodatkowym </w:t>
            </w:r>
            <w:r w:rsidR="00111691" w:rsidRPr="000B1B5F">
              <w:rPr>
                <w:rFonts w:asciiTheme="minorHAnsi" w:hAnsiTheme="minorHAnsi" w:cs="Arial"/>
                <w:sz w:val="20"/>
              </w:rPr>
              <w:t>muszą:</w:t>
            </w:r>
          </w:p>
          <w:p w:rsidR="00111691" w:rsidRPr="000B1B5F" w:rsidRDefault="00C91C6B" w:rsidP="00111691">
            <w:pPr>
              <w:pStyle w:val="Tabela1"/>
              <w:numPr>
                <w:ilvl w:val="1"/>
                <w:numId w:val="5"/>
              </w:numPr>
              <w:snapToGrid w:val="0"/>
              <w:ind w:left="527" w:hanging="283"/>
              <w:jc w:val="both"/>
              <w:rPr>
                <w:rFonts w:asciiTheme="minorHAnsi" w:hAnsiTheme="minorHAnsi" w:cs="Arial"/>
                <w:sz w:val="20"/>
              </w:rPr>
            </w:pPr>
            <w:r w:rsidRPr="000B1B5F">
              <w:rPr>
                <w:rFonts w:asciiTheme="minorHAnsi" w:hAnsiTheme="minorHAnsi" w:cs="Arial"/>
                <w:sz w:val="20"/>
              </w:rPr>
              <w:t xml:space="preserve">Być </w:t>
            </w:r>
            <w:r w:rsidR="00111691" w:rsidRPr="000B1B5F">
              <w:rPr>
                <w:rFonts w:asciiTheme="minorHAnsi" w:hAnsiTheme="minorHAnsi" w:cs="Arial"/>
                <w:sz w:val="20"/>
              </w:rPr>
              <w:t>Fabrycznie nowe</w:t>
            </w:r>
          </w:p>
          <w:p w:rsidR="00111691" w:rsidRPr="000B1B5F" w:rsidRDefault="00C91C6B" w:rsidP="00111691">
            <w:pPr>
              <w:pStyle w:val="Tabela1"/>
              <w:numPr>
                <w:ilvl w:val="1"/>
                <w:numId w:val="5"/>
              </w:numPr>
              <w:snapToGrid w:val="0"/>
              <w:ind w:left="527" w:hanging="283"/>
              <w:jc w:val="both"/>
              <w:rPr>
                <w:rFonts w:asciiTheme="minorHAnsi" w:hAnsiTheme="minorHAnsi" w:cs="Arial"/>
                <w:sz w:val="20"/>
              </w:rPr>
            </w:pPr>
            <w:r w:rsidRPr="000B1B5F">
              <w:rPr>
                <w:rFonts w:asciiTheme="minorHAnsi" w:hAnsiTheme="minorHAnsi" w:cs="Arial"/>
                <w:sz w:val="20"/>
              </w:rPr>
              <w:t>Zapewnić obsługę</w:t>
            </w:r>
            <w:r w:rsidR="00B02597" w:rsidRPr="000B1B5F">
              <w:rPr>
                <w:rFonts w:asciiTheme="minorHAnsi" w:hAnsiTheme="minorHAnsi" w:cs="Arial"/>
                <w:sz w:val="20"/>
              </w:rPr>
              <w:t xml:space="preserve"> wewnętrznych linii analogowych, cyfrowych, IP</w:t>
            </w:r>
          </w:p>
          <w:p w:rsidR="000B1B5F" w:rsidRDefault="007146F7" w:rsidP="000B1B5F">
            <w:pPr>
              <w:pStyle w:val="Tabela1"/>
              <w:numPr>
                <w:ilvl w:val="1"/>
                <w:numId w:val="5"/>
              </w:numPr>
              <w:snapToGrid w:val="0"/>
              <w:ind w:left="527" w:hanging="283"/>
              <w:jc w:val="both"/>
              <w:rPr>
                <w:rFonts w:asciiTheme="minorHAnsi" w:hAnsiTheme="minorHAnsi" w:cs="Arial"/>
                <w:sz w:val="20"/>
              </w:rPr>
            </w:pPr>
            <w:r w:rsidRPr="000B1B5F">
              <w:rPr>
                <w:rFonts w:asciiTheme="minorHAnsi" w:hAnsiTheme="minorHAnsi" w:cs="Arial"/>
                <w:sz w:val="20"/>
              </w:rPr>
              <w:t>Zapewniać obsługę zewnętrznych linii IP</w:t>
            </w:r>
          </w:p>
          <w:p w:rsidR="007146F7" w:rsidRPr="000B1B5F" w:rsidRDefault="00AD62C4" w:rsidP="000B1B5F">
            <w:pPr>
              <w:pStyle w:val="Tabela1"/>
              <w:numPr>
                <w:ilvl w:val="1"/>
                <w:numId w:val="5"/>
              </w:numPr>
              <w:snapToGrid w:val="0"/>
              <w:ind w:left="527" w:hanging="283"/>
              <w:jc w:val="both"/>
              <w:rPr>
                <w:rFonts w:asciiTheme="minorHAnsi" w:hAnsiTheme="minorHAnsi" w:cs="Arial"/>
                <w:sz w:val="20"/>
              </w:rPr>
            </w:pPr>
            <w:r w:rsidRPr="000B1B5F">
              <w:rPr>
                <w:rFonts w:asciiTheme="minorHAnsi" w:hAnsiTheme="minorHAnsi" w:cs="Arial"/>
                <w:sz w:val="20"/>
              </w:rPr>
              <w:t>Umożliwiać skalowalność i rozbudowę zasobów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A74BA" w:rsidRDefault="00820C27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A74BA" w:rsidRPr="00FC790D" w:rsidRDefault="003A74BA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A74BA" w:rsidRPr="00FC790D" w:rsidRDefault="003A74BA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AB23F4" w:rsidRPr="00FC790D" w:rsidTr="00440838">
        <w:trPr>
          <w:trHeight w:hRule="exact" w:val="265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AB23F4" w:rsidRPr="00FC790D" w:rsidRDefault="00AB23F4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40838" w:rsidRPr="009009CD" w:rsidRDefault="00440838" w:rsidP="00440838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 w:rsidRPr="009009CD">
              <w:rPr>
                <w:rFonts w:asciiTheme="minorHAnsi" w:hAnsiTheme="minorHAnsi" w:cs="Arial"/>
                <w:sz w:val="20"/>
              </w:rPr>
              <w:t xml:space="preserve">Rodzaj przyłącza dla usługi telefonicznej: Łącze telefoniczne zrealizowane jako przyłącze światłowodowe zakończone przełącznicą optyczną oraz wysokowydajnym </w:t>
            </w:r>
            <w:proofErr w:type="spellStart"/>
            <w:r w:rsidRPr="009009CD">
              <w:rPr>
                <w:rFonts w:asciiTheme="minorHAnsi" w:hAnsiTheme="minorHAnsi" w:cs="Arial"/>
                <w:sz w:val="20"/>
              </w:rPr>
              <w:t>switch'em</w:t>
            </w:r>
            <w:proofErr w:type="spellEnd"/>
            <w:r w:rsidRPr="009009CD">
              <w:rPr>
                <w:rFonts w:asciiTheme="minorHAnsi" w:hAnsiTheme="minorHAnsi" w:cs="Arial"/>
                <w:sz w:val="20"/>
              </w:rPr>
              <w:t xml:space="preserve"> optycznym. </w:t>
            </w:r>
          </w:p>
          <w:p w:rsidR="00AB23F4" w:rsidRPr="00AB23F4" w:rsidRDefault="00440838" w:rsidP="00440838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  <w:highlight w:val="green"/>
              </w:rPr>
            </w:pPr>
            <w:r w:rsidRPr="009009CD">
              <w:rPr>
                <w:rFonts w:asciiTheme="minorHAnsi" w:hAnsiTheme="minorHAnsi" w:cs="Arial"/>
                <w:sz w:val="20"/>
              </w:rPr>
              <w:t xml:space="preserve">Usługi telefoniczne świadczone na dedykowanym interfejsie   poprzez odseparowane od innych sieci (w tym sieci </w:t>
            </w:r>
            <w:proofErr w:type="spellStart"/>
            <w:r w:rsidRPr="009009CD">
              <w:rPr>
                <w:rFonts w:asciiTheme="minorHAnsi" w:hAnsiTheme="minorHAnsi" w:cs="Arial"/>
                <w:sz w:val="20"/>
              </w:rPr>
              <w:t>internet</w:t>
            </w:r>
            <w:proofErr w:type="spellEnd"/>
            <w:r w:rsidRPr="009009CD">
              <w:rPr>
                <w:rFonts w:asciiTheme="minorHAnsi" w:hAnsiTheme="minorHAnsi" w:cs="Arial"/>
                <w:sz w:val="20"/>
              </w:rPr>
              <w:t>)  łącze transmisji danych zestawione bezpośrednio do platformy telekomunikacyjnej operatora (ze względów bezpieczeństwa oraz gwarantowanej  jakości usługa nie może być realizowana na łączach internetowych)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B23F4" w:rsidRDefault="00AB23F4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AB23F4" w:rsidRPr="00FC790D" w:rsidRDefault="00AB23F4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AB23F4" w:rsidRDefault="00AB23F4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028A1" w:rsidRPr="00FC790D" w:rsidTr="00D03B1C">
        <w:trPr>
          <w:trHeight w:hRule="exact" w:val="123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028A1" w:rsidRPr="00FC790D" w:rsidRDefault="000028A1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0028A1" w:rsidRPr="00531465" w:rsidRDefault="000028A1" w:rsidP="005B1E88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 w:rsidRPr="00255EC4">
              <w:rPr>
                <w:rFonts w:asciiTheme="minorHAnsi" w:hAnsiTheme="minorHAnsi" w:cs="Arial"/>
                <w:sz w:val="20"/>
              </w:rPr>
              <w:t>Protokół komunikacyjny: Łącze komunikacyjne z platformą telekomunikacyjną operatora  zrealizowane w oparciu o usługę SIP TRUNK wykorzystującą protokół SIP oraz kodeki głosowe G.711 u/a oraz protokół T.38 dla transmisji faksowej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0028A1" w:rsidRDefault="00DE255C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0028A1" w:rsidRPr="00FC790D" w:rsidRDefault="000028A1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028A1" w:rsidRDefault="000028A1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AB23F4" w:rsidRPr="00FC790D" w:rsidTr="001B26E2">
        <w:trPr>
          <w:trHeight w:hRule="exact" w:val="744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AB23F4" w:rsidRPr="00FC790D" w:rsidRDefault="00AB23F4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B23F4" w:rsidRPr="007B5929" w:rsidRDefault="00465DB5" w:rsidP="00465DB5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wymagana funkcjonalność  centrali telefonicznej IPPABX: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Obs</w:t>
            </w:r>
            <w:r w:rsidR="007B5929">
              <w:rPr>
                <w:rFonts w:asciiTheme="minorHAnsi" w:hAnsiTheme="minorHAnsi" w:cs="Arial"/>
                <w:sz w:val="20"/>
              </w:rPr>
              <w:t xml:space="preserve">ługa telefonii analogowej 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Obsługa telef</w:t>
            </w:r>
            <w:r w:rsidR="007B5929">
              <w:rPr>
                <w:rFonts w:asciiTheme="minorHAnsi" w:hAnsiTheme="minorHAnsi" w:cs="Arial"/>
                <w:sz w:val="20"/>
              </w:rPr>
              <w:t xml:space="preserve">onii systemowej/cyfrowej 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Obsług</w:t>
            </w:r>
            <w:r w:rsidR="007B5929">
              <w:rPr>
                <w:rFonts w:asciiTheme="minorHAnsi" w:hAnsiTheme="minorHAnsi" w:cs="Arial"/>
                <w:sz w:val="20"/>
              </w:rPr>
              <w:t>a telefonii systemowej IP</w:t>
            </w:r>
          </w:p>
          <w:p w:rsidR="008919E8" w:rsidRPr="007B5929" w:rsidRDefault="007B5929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Obsługa telefonii IP SIP</w:t>
            </w:r>
          </w:p>
          <w:p w:rsidR="008919E8" w:rsidRPr="007B5929" w:rsidRDefault="007B5929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Obsługa DISA </w:t>
            </w:r>
          </w:p>
          <w:p w:rsidR="008919E8" w:rsidRPr="007B5929" w:rsidRDefault="007B5929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Obsługa IVR  – </w:t>
            </w:r>
            <w:r w:rsidR="008919E8" w:rsidRPr="007B5929">
              <w:rPr>
                <w:rFonts w:asciiTheme="minorHAnsi" w:hAnsiTheme="minorHAnsi" w:cs="Arial"/>
                <w:sz w:val="20"/>
              </w:rPr>
              <w:t xml:space="preserve"> (wielopoziomowy IVR)</w:t>
            </w:r>
          </w:p>
          <w:p w:rsidR="008919E8" w:rsidRPr="007B5929" w:rsidRDefault="007B5929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Zapowiedzi głosowe  – </w:t>
            </w:r>
            <w:r w:rsidR="008919E8" w:rsidRPr="007B5929">
              <w:rPr>
                <w:rFonts w:asciiTheme="minorHAnsi" w:hAnsiTheme="minorHAnsi" w:cs="Arial"/>
                <w:sz w:val="20"/>
              </w:rPr>
              <w:t xml:space="preserve"> (minimum 16 minut) </w:t>
            </w:r>
          </w:p>
          <w:p w:rsidR="007B5929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P</w:t>
            </w:r>
            <w:r w:rsidR="007B5929">
              <w:rPr>
                <w:rFonts w:asciiTheme="minorHAnsi" w:hAnsiTheme="minorHAnsi" w:cs="Arial"/>
                <w:sz w:val="20"/>
              </w:rPr>
              <w:t>ołączenia konferencyjne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Obsł</w:t>
            </w:r>
            <w:r w:rsidR="007B5929">
              <w:rPr>
                <w:rFonts w:asciiTheme="minorHAnsi" w:hAnsiTheme="minorHAnsi" w:cs="Arial"/>
                <w:sz w:val="20"/>
              </w:rPr>
              <w:t xml:space="preserve">uga grup wspólnego wołania 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Obsługa g</w:t>
            </w:r>
            <w:r w:rsidR="007B5929">
              <w:rPr>
                <w:rFonts w:asciiTheme="minorHAnsi" w:hAnsiTheme="minorHAnsi" w:cs="Arial"/>
                <w:sz w:val="20"/>
              </w:rPr>
              <w:t xml:space="preserve">rup dystrybucji połączeń </w:t>
            </w:r>
          </w:p>
          <w:p w:rsidR="008919E8" w:rsidRPr="007B5929" w:rsidRDefault="00834FE7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Obsługa grup </w:t>
            </w:r>
            <w:proofErr w:type="spellStart"/>
            <w:r>
              <w:rPr>
                <w:rFonts w:asciiTheme="minorHAnsi" w:hAnsiTheme="minorHAnsi" w:cs="Arial"/>
                <w:sz w:val="20"/>
              </w:rPr>
              <w:t>CallPickup</w:t>
            </w:r>
            <w:proofErr w:type="spellEnd"/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Obsługa połączeń ocze</w:t>
            </w:r>
            <w:r w:rsidR="00834FE7">
              <w:rPr>
                <w:rFonts w:asciiTheme="minorHAnsi" w:hAnsiTheme="minorHAnsi" w:cs="Arial"/>
                <w:sz w:val="20"/>
              </w:rPr>
              <w:t>kujących</w:t>
            </w:r>
          </w:p>
          <w:p w:rsidR="008919E8" w:rsidRPr="007B5929" w:rsidRDefault="00C0411F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Obsługa ARS/LCR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 xml:space="preserve">Kolejkowanie połączeń  </w:t>
            </w:r>
            <w:r w:rsidR="003B77E5" w:rsidRPr="007B5929">
              <w:rPr>
                <w:rFonts w:asciiTheme="minorHAnsi" w:hAnsiTheme="minorHAnsi" w:cs="Arial"/>
                <w:sz w:val="20"/>
              </w:rPr>
              <w:t>przychodzących zewnętrznych</w:t>
            </w:r>
            <w:r w:rsidRPr="007B5929">
              <w:rPr>
                <w:rFonts w:asciiTheme="minorHAnsi" w:hAnsiTheme="minorHAnsi" w:cs="Arial"/>
                <w:sz w:val="20"/>
              </w:rPr>
              <w:t xml:space="preserve">–  </w:t>
            </w:r>
            <w:r w:rsidR="00260FEE" w:rsidRPr="007B5929">
              <w:rPr>
                <w:rFonts w:asciiTheme="minorHAnsi" w:hAnsiTheme="minorHAnsi" w:cstheme="minorHAnsi"/>
                <w:sz w:val="20"/>
              </w:rPr>
              <w:t>wraz z generowaniem informacji o pozycji w kolejce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Przekierowywanie połączeń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Transfer połączeń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Obsługa zamawiania połączeń do użytkowników wewnętrznych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Systemowa książka telefoniczna (przynajmniej 1000 wpisów)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Systemowa poczta głosowa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>Restrykcje dla połączeń zewnętrznych/wewnętrznych</w:t>
            </w:r>
          </w:p>
          <w:p w:rsidR="008919E8" w:rsidRPr="007B5929" w:rsidRDefault="008919E8" w:rsidP="008919E8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</w:rPr>
            </w:pPr>
            <w:r w:rsidRPr="007B5929">
              <w:rPr>
                <w:rFonts w:asciiTheme="minorHAnsi" w:hAnsiTheme="minorHAnsi" w:cs="Arial"/>
                <w:sz w:val="20"/>
              </w:rPr>
              <w:t xml:space="preserve">Obsługa połączeń przychodzących na podstawie warunków czasowych </w:t>
            </w:r>
          </w:p>
          <w:p w:rsidR="00465DB5" w:rsidRPr="00AB23F4" w:rsidRDefault="008919E8" w:rsidP="00C0411F">
            <w:pPr>
              <w:pStyle w:val="Tabela1"/>
              <w:snapToGrid w:val="0"/>
              <w:ind w:left="102"/>
              <w:jc w:val="both"/>
              <w:rPr>
                <w:rFonts w:asciiTheme="minorHAnsi" w:hAnsiTheme="minorHAnsi" w:cs="Arial"/>
                <w:sz w:val="20"/>
                <w:highlight w:val="green"/>
              </w:rPr>
            </w:pPr>
            <w:r w:rsidRPr="007B5929">
              <w:rPr>
                <w:rFonts w:asciiTheme="minorHAnsi" w:hAnsiTheme="minorHAnsi" w:cs="Arial"/>
                <w:sz w:val="20"/>
              </w:rPr>
              <w:t>Obsługa</w:t>
            </w:r>
            <w:r w:rsidR="00C0411F">
              <w:rPr>
                <w:rFonts w:asciiTheme="minorHAnsi" w:hAnsiTheme="minorHAnsi" w:cs="Arial"/>
                <w:sz w:val="20"/>
              </w:rPr>
              <w:t xml:space="preserve"> faksowej transmisji analogowej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B23F4" w:rsidRDefault="00C6267A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AB23F4" w:rsidRPr="00FC790D" w:rsidRDefault="00AB23F4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AB23F4" w:rsidRDefault="00AB23F4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6D1052" w:rsidRPr="00FC790D" w:rsidTr="005B1E88">
        <w:trPr>
          <w:trHeight w:hRule="exact" w:val="72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6D1052" w:rsidRPr="00FC790D" w:rsidRDefault="006D1052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D1052" w:rsidRPr="004D681C" w:rsidRDefault="006D1052" w:rsidP="007208F9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  <w:highlight w:val="yellow"/>
              </w:rPr>
            </w:pPr>
            <w:r w:rsidRPr="00591D55">
              <w:rPr>
                <w:rFonts w:asciiTheme="minorHAnsi" w:hAnsiTheme="minorHAnsi" w:cs="Arial"/>
                <w:sz w:val="20"/>
              </w:rPr>
              <w:t xml:space="preserve">Obudowa </w:t>
            </w:r>
            <w:r w:rsidR="005A1A0A">
              <w:rPr>
                <w:rFonts w:asciiTheme="minorHAnsi" w:hAnsiTheme="minorHAnsi" w:cs="Arial"/>
                <w:sz w:val="20"/>
              </w:rPr>
              <w:t>Centrali telefonicznej</w:t>
            </w:r>
            <w:r w:rsidR="00877A78">
              <w:rPr>
                <w:rFonts w:asciiTheme="minorHAnsi" w:hAnsiTheme="minorHAnsi" w:cs="Arial"/>
                <w:sz w:val="20"/>
              </w:rPr>
              <w:t xml:space="preserve"> IP PABX</w:t>
            </w:r>
            <w:r w:rsidR="005A1A0A">
              <w:rPr>
                <w:rFonts w:asciiTheme="minorHAnsi" w:hAnsiTheme="minorHAnsi" w:cs="Arial"/>
                <w:sz w:val="20"/>
              </w:rPr>
              <w:t xml:space="preserve">: </w:t>
            </w:r>
            <w:r w:rsidRPr="00591D55">
              <w:rPr>
                <w:rFonts w:asciiTheme="minorHAnsi" w:hAnsiTheme="minorHAnsi" w:cs="Arial"/>
                <w:sz w:val="20"/>
              </w:rPr>
              <w:t>RACK 19’’ wraz z zestawem do montażu w szafach RACK 19’’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6D1052" w:rsidRDefault="006D1052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6D1052" w:rsidRPr="00FC790D" w:rsidRDefault="006D1052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6D1052" w:rsidRDefault="006D1052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4D681C" w:rsidRPr="00FC790D" w:rsidTr="0036689F">
        <w:trPr>
          <w:trHeight w:hRule="exact" w:val="60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4D681C" w:rsidRPr="00FC790D" w:rsidRDefault="004D681C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D681C" w:rsidRPr="004D681C" w:rsidRDefault="00815D25" w:rsidP="007208F9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  <w:highlight w:val="yellow"/>
              </w:rPr>
            </w:pPr>
            <w:r w:rsidRPr="00815D25">
              <w:rPr>
                <w:rFonts w:asciiTheme="minorHAnsi" w:hAnsiTheme="minorHAnsi" w:cs="Arial"/>
                <w:sz w:val="20"/>
              </w:rPr>
              <w:t>Zarządzanie</w:t>
            </w:r>
            <w:r w:rsidR="008F0FD4">
              <w:rPr>
                <w:rFonts w:asciiTheme="minorHAnsi" w:hAnsiTheme="minorHAnsi" w:cs="Arial"/>
                <w:sz w:val="20"/>
              </w:rPr>
              <w:t xml:space="preserve"> / konfiguracja </w:t>
            </w:r>
            <w:r w:rsidRPr="00815D25">
              <w:rPr>
                <w:rFonts w:asciiTheme="minorHAnsi" w:hAnsiTheme="minorHAnsi" w:cs="Arial"/>
                <w:sz w:val="20"/>
              </w:rPr>
              <w:t xml:space="preserve"> </w:t>
            </w:r>
            <w:r w:rsidR="00255EC4">
              <w:rPr>
                <w:rFonts w:asciiTheme="minorHAnsi" w:hAnsiTheme="minorHAnsi" w:cs="Arial"/>
                <w:sz w:val="20"/>
              </w:rPr>
              <w:t xml:space="preserve">Centrali </w:t>
            </w:r>
            <w:r w:rsidRPr="00815D25">
              <w:rPr>
                <w:rFonts w:asciiTheme="minorHAnsi" w:hAnsiTheme="minorHAnsi" w:cs="Arial"/>
                <w:sz w:val="20"/>
              </w:rPr>
              <w:t>przez przeglądarkę internetową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D681C" w:rsidRDefault="000F13A8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4D681C" w:rsidRPr="00FC790D" w:rsidRDefault="004D681C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4D681C" w:rsidRDefault="004D681C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A2637" w:rsidRPr="00FC790D" w:rsidTr="00606375">
        <w:trPr>
          <w:trHeight w:hRule="exact" w:val="84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A2637" w:rsidRPr="00FC790D" w:rsidRDefault="003A2637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A2637" w:rsidRPr="00666C29" w:rsidRDefault="006317EE" w:rsidP="00B618BF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Możliwoś</w:t>
            </w:r>
            <w:r w:rsidR="00DA7E87">
              <w:rPr>
                <w:rFonts w:asciiTheme="minorHAnsi" w:hAnsiTheme="minorHAnsi" w:cs="Arial"/>
                <w:sz w:val="20"/>
              </w:rPr>
              <w:t>ć integracji z telefonią GSM (w ramach realizacji zapasowej drogi dla połącze</w:t>
            </w:r>
            <w:r w:rsidR="00606375">
              <w:rPr>
                <w:rFonts w:asciiTheme="minorHAnsi" w:hAnsiTheme="minorHAnsi" w:cs="Arial"/>
                <w:sz w:val="20"/>
              </w:rPr>
              <w:t>ń z / do publicznej sieci telef</w:t>
            </w:r>
            <w:r w:rsidR="00DA7E87">
              <w:rPr>
                <w:rFonts w:asciiTheme="minorHAnsi" w:hAnsiTheme="minorHAnsi" w:cs="Arial"/>
                <w:sz w:val="20"/>
              </w:rPr>
              <w:t>onicznej</w:t>
            </w:r>
            <w:r w:rsidR="00256205">
              <w:rPr>
                <w:rFonts w:asciiTheme="minorHAnsi" w:hAnsiTheme="minorHAnsi" w:cs="Arial"/>
                <w:sz w:val="20"/>
              </w:rPr>
              <w:t>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A2637" w:rsidRDefault="003A2637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A2637" w:rsidRPr="00FC790D" w:rsidRDefault="003A2637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A2637" w:rsidRPr="00FC790D" w:rsidRDefault="003A2637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EB25B1" w:rsidRPr="00FC790D" w:rsidTr="00621C47">
        <w:trPr>
          <w:trHeight w:hRule="exact" w:val="55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EB25B1" w:rsidRPr="00FC790D" w:rsidRDefault="00EB25B1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B25B1" w:rsidRDefault="00FC51AD" w:rsidP="00FC51AD">
            <w:pPr>
              <w:pStyle w:val="Tabela1"/>
              <w:snapToGrid w:val="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Centrala musi posiadać zintegrowany moduł / kartę</w:t>
            </w:r>
            <w:r w:rsidR="00AC427E" w:rsidRPr="00666C29">
              <w:rPr>
                <w:rFonts w:asciiTheme="minorHAnsi" w:hAnsiTheme="minorHAnsi" w:cs="Arial"/>
                <w:sz w:val="20"/>
              </w:rPr>
              <w:t xml:space="preserve"> GSM</w:t>
            </w:r>
            <w:r>
              <w:rPr>
                <w:rFonts w:asciiTheme="minorHAnsi" w:hAnsiTheme="minorHAnsi" w:cs="Arial"/>
                <w:sz w:val="20"/>
              </w:rPr>
              <w:t xml:space="preserve"> - </w:t>
            </w:r>
            <w:r w:rsidR="00B618BF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z obsługą min. 2</w:t>
            </w:r>
            <w:r w:rsidR="00B618BF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kart SIM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B25B1" w:rsidRDefault="00AC427E" w:rsidP="006B4080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EB25B1" w:rsidRPr="00FC790D" w:rsidRDefault="00EB25B1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EB25B1" w:rsidRPr="00FC790D" w:rsidRDefault="00EB25B1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D2EC5" w:rsidRPr="00FC790D" w:rsidTr="00E62DD9">
        <w:trPr>
          <w:trHeight w:hRule="exact" w:val="136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D2EC5" w:rsidRPr="00FC790D" w:rsidRDefault="00FD2EC5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62DD9" w:rsidRPr="00E62DD9" w:rsidRDefault="00E62DD9" w:rsidP="00E62DD9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62D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Kierowanie ruchu do grup abonentów:</w:t>
            </w:r>
          </w:p>
          <w:p w:rsidR="00E62DD9" w:rsidRPr="00E62DD9" w:rsidRDefault="001B2884" w:rsidP="00FC51AD">
            <w:pPr>
              <w:pStyle w:val="Akapitzlist"/>
              <w:numPr>
                <w:ilvl w:val="1"/>
                <w:numId w:val="5"/>
              </w:numPr>
              <w:suppressAutoHyphens/>
              <w:ind w:left="385" w:hanging="283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równomiernie</w:t>
            </w:r>
          </w:p>
          <w:p w:rsidR="00E62DD9" w:rsidRPr="00E62DD9" w:rsidRDefault="00E62DD9" w:rsidP="00FC51AD">
            <w:pPr>
              <w:pStyle w:val="Akapitzlist"/>
              <w:numPr>
                <w:ilvl w:val="1"/>
                <w:numId w:val="5"/>
              </w:numPr>
              <w:suppressAutoHyphens/>
              <w:ind w:left="385" w:hanging="283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E62DD9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zgodnie z tematem wybranym na Infolinii</w:t>
            </w:r>
          </w:p>
          <w:p w:rsidR="00FD2EC5" w:rsidRPr="00591D55" w:rsidRDefault="00E06D41" w:rsidP="00FC51AD">
            <w:pPr>
              <w:pStyle w:val="Akapitzlist"/>
              <w:numPr>
                <w:ilvl w:val="1"/>
                <w:numId w:val="5"/>
              </w:numPr>
              <w:suppressAutoHyphens/>
              <w:ind w:left="385" w:hanging="283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automatycznie – </w:t>
            </w:r>
            <w:r w:rsidRPr="00E06D4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 podstawie rozpoznanego</w:t>
            </w:r>
            <w:r w:rsidR="00FC51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1B288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numeru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FD2EC5" w:rsidRDefault="00FD2EC5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FD2EC5" w:rsidRPr="00FC790D" w:rsidRDefault="00FD2EC5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D2EC5" w:rsidRPr="00FC790D" w:rsidRDefault="00FD2EC5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B6928" w:rsidRPr="00FC790D" w:rsidTr="00357F0C">
        <w:trPr>
          <w:trHeight w:hRule="exact" w:val="69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B6928" w:rsidRPr="00FC790D" w:rsidRDefault="000B6928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0B6928" w:rsidRPr="000842D8" w:rsidRDefault="002A6AF7" w:rsidP="008647C6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40</w:t>
            </w:r>
            <w:r w:rsidR="00F775D9" w:rsidRPr="002A6A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jednoczesnych połączeń</w:t>
            </w:r>
            <w:r w:rsidR="008647C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</w:t>
            </w:r>
            <w:r w:rsidR="00F775D9" w:rsidRPr="002A6AF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dla usługi SIP TRUNK (w tym dla analogowej transmisji faksowej)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0B6928" w:rsidRDefault="000B6928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0B6928" w:rsidRPr="00FC790D" w:rsidRDefault="000B6928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B6928" w:rsidRPr="00FC790D" w:rsidRDefault="000B6928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07716" w:rsidRPr="00FC790D" w:rsidTr="00A91D8A">
        <w:trPr>
          <w:trHeight w:hRule="exact" w:val="95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07716" w:rsidRPr="00FC790D" w:rsidRDefault="00107716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07716" w:rsidRPr="00843376" w:rsidRDefault="000F524D" w:rsidP="00525958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Ilość jednoczesnych połączeń pomiędzy użytkownikami wewnętrznymi centrali telefonicznej IPPABX – bez ograniczeń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07716" w:rsidRDefault="00107716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07716" w:rsidRPr="00FC790D" w:rsidRDefault="00107716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07716" w:rsidRPr="00FC790D" w:rsidRDefault="00107716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E1A06" w:rsidRPr="00FC790D" w:rsidTr="00A91D8A">
        <w:trPr>
          <w:trHeight w:hRule="exact" w:val="95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E1A06" w:rsidRPr="00FC790D" w:rsidRDefault="009E1A06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E1A06" w:rsidRPr="00843376" w:rsidRDefault="00FD0F71" w:rsidP="00EE54E1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Ilość wymaganych wewnętrznych portów analogowych z CLIP w centrali telefonicznej IPPABX – min</w:t>
            </w:r>
            <w:r w:rsidR="00EE54E1"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imum</w:t>
            </w:r>
            <w:r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320 (z możliwością dalszej rozbudowy)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E1A06" w:rsidRDefault="009E1A06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E1A06" w:rsidRPr="00FC790D" w:rsidRDefault="009E1A06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E1A06" w:rsidRPr="00FC790D" w:rsidRDefault="009E1A06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D25CF3" w:rsidRPr="00FC790D" w:rsidTr="00DA5963">
        <w:trPr>
          <w:trHeight w:hRule="exact" w:val="87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D25CF3" w:rsidRPr="00FC790D" w:rsidRDefault="00D25CF3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D25CF3" w:rsidRPr="00FD0F71" w:rsidRDefault="0010322A" w:rsidP="00EE54E1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highlight w:val="green"/>
                <w:lang w:val="pl-PL"/>
              </w:rPr>
            </w:pPr>
            <w:r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Ilość wymaganych wewnętrznych portów systemowych/cyfrowych w centrali telefonicznej IPPABX – minimum 12 (z możliwością dalszej rozbudowy)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D25CF3" w:rsidRDefault="00D25CF3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D25CF3" w:rsidRPr="00FC790D" w:rsidRDefault="00D25CF3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D25CF3" w:rsidRPr="00FC790D" w:rsidRDefault="00D25CF3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3038A" w:rsidRPr="00FC790D" w:rsidTr="00F94393">
        <w:trPr>
          <w:trHeight w:hRule="exact" w:val="84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3038A" w:rsidRPr="00FC790D" w:rsidRDefault="0013038A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3038A" w:rsidRPr="00843376" w:rsidRDefault="00504B4B" w:rsidP="00504B4B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</w:t>
            </w:r>
            <w:r w:rsidR="00787F34"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agrywanie</w:t>
            </w:r>
            <w:r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rozmów telefonicznych -</w:t>
            </w:r>
            <w:r w:rsidR="00787F34"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min. 10 </w:t>
            </w:r>
            <w:r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jednocześnie nagrywanych </w:t>
            </w:r>
            <w:r w:rsidR="00935C74"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zewnętrznych </w:t>
            </w:r>
            <w:r w:rsidR="00787F34"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połączeń wychodzących i p</w:t>
            </w:r>
            <w:r w:rsidR="000C44DC"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rzychodzących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3038A" w:rsidRDefault="0013038A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3038A" w:rsidRPr="00FC790D" w:rsidRDefault="0013038A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3038A" w:rsidRPr="00FC790D" w:rsidRDefault="0013038A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3038A" w:rsidRPr="00FC790D" w:rsidTr="00781CB4">
        <w:trPr>
          <w:trHeight w:hRule="exact" w:val="56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3038A" w:rsidRPr="00FC790D" w:rsidRDefault="0013038A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3038A" w:rsidRPr="00843376" w:rsidRDefault="00DE7B08" w:rsidP="00781CB4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Nagrywanie rozmów telefonicznych </w:t>
            </w:r>
            <w:r w:rsidR="00781CB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 </w:t>
            </w:r>
            <w:r w:rsidR="00787F34"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przechowywanie nagrań na dedykowan</w:t>
            </w:r>
            <w:r w:rsidR="00272AD9" w:rsidRPr="00843376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ym dysku twardym</w:t>
            </w:r>
            <w:r w:rsidR="00B056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B05617" w:rsidRPr="00166D05">
              <w:rPr>
                <w:rFonts w:asciiTheme="minorHAnsi" w:hAnsiTheme="minorHAnsi" w:cs="Calibri"/>
                <w:sz w:val="20"/>
                <w:lang w:val="pl-PL"/>
              </w:rPr>
              <w:t>przez min. 60 dni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3038A" w:rsidRDefault="0013038A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3038A" w:rsidRPr="00FC790D" w:rsidRDefault="0013038A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3038A" w:rsidRPr="00FC790D" w:rsidRDefault="0013038A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72514A" w:rsidRPr="00FC790D" w:rsidTr="001B2899">
        <w:trPr>
          <w:trHeight w:hRule="exact" w:val="113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72514A" w:rsidRPr="00FC790D" w:rsidRDefault="0072514A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72514A" w:rsidRDefault="008E3BEA" w:rsidP="0048633C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Zasilanie awaryjne dla: Centrali telefonicznej IP PABX, operatorskiego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switcha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optycznego, systemu nagrywania rozmów i taryfikacji rozmów z</w:t>
            </w:r>
            <w:r w:rsidR="00781CB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 pomocą dedykowanego UPS-a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72514A" w:rsidRDefault="0072514A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72514A" w:rsidRPr="00FC790D" w:rsidRDefault="0072514A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72514A" w:rsidRPr="00FC790D" w:rsidRDefault="0072514A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AC678E" w:rsidRPr="00FC790D" w:rsidTr="0072514A">
        <w:trPr>
          <w:trHeight w:hRule="exact" w:val="46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AC678E" w:rsidRPr="00FC790D" w:rsidRDefault="00AC678E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C678E" w:rsidRDefault="006B0DE2" w:rsidP="00B01B8E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Rodzaj przełącznicy stacyjnej: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patchpanel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lub łączówki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C678E" w:rsidRDefault="00AC678E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AC678E" w:rsidRPr="00FC790D" w:rsidRDefault="00AC678E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AC678E" w:rsidRPr="00FC790D" w:rsidRDefault="00AC678E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044FC" w:rsidRPr="00FC790D" w:rsidTr="00C044FC">
        <w:trPr>
          <w:trHeight w:hRule="exact" w:val="1855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044FC" w:rsidRPr="00FC790D" w:rsidRDefault="00C044FC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044FC" w:rsidRDefault="008F11F1" w:rsidP="00B01B8E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</w:t>
            </w:r>
            <w:r w:rsidR="00C044FC" w:rsidRPr="00C044F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rzeniesienie telefonicznej sieci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wewnętrznej Zamawiającego do</w:t>
            </w:r>
            <w:r w:rsidR="00C044FC" w:rsidRPr="00C044F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szafy </w:t>
            </w:r>
            <w:proofErr w:type="spellStart"/>
            <w:r w:rsidR="00C044FC" w:rsidRPr="00C044F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</w:t>
            </w:r>
            <w:proofErr w:type="spellEnd"/>
            <w:r w:rsidR="00C044FC" w:rsidRPr="00C044F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19” poprzez instalację kabla korespondencyjnego (o wymaganej ilości par), wykonanie wymaganych złączy telekomunikacyjnych, rozszycie kabla na dedykowanej przełącznicy MDFL, połączenie z przełącznicą MDFS proponowanej </w:t>
            </w:r>
            <w:r w:rsidR="00B01B8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centrali telefonicznej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C044FC" w:rsidRPr="00C044F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IP</w:t>
            </w:r>
            <w:r w:rsidR="00BF0C8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C044FC" w:rsidRPr="00C044F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PABX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044FC" w:rsidRDefault="00C044FC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C044FC" w:rsidRPr="00FC790D" w:rsidRDefault="00C044FC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044FC" w:rsidRPr="00FC790D" w:rsidRDefault="00C044FC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3038A" w:rsidRPr="00FC790D" w:rsidTr="00702A06">
        <w:trPr>
          <w:trHeight w:hRule="exact" w:val="116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3038A" w:rsidRPr="00FC790D" w:rsidRDefault="0013038A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3038A" w:rsidRPr="00525958" w:rsidRDefault="00955928" w:rsidP="00387E78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Dostawa w ramach zamówienia Szafy</w:t>
            </w:r>
            <w:r w:rsidR="00867E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683555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teleinformatycznej </w:t>
            </w:r>
            <w:r w:rsidR="00867E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RACK 19’’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67421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 wysokości </w:t>
            </w:r>
            <w:r w:rsidR="00867E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min. 42U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wyposażonej</w:t>
            </w:r>
            <w:r w:rsidR="00867E5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 min. 3 półki 19’’</w:t>
            </w:r>
            <w:r w:rsidR="00387E7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, min. 1 listwę zasilającą 19’’ i min. 3</w:t>
            </w:r>
            <w:r w:rsidR="00387E78" w:rsidRPr="00CC5E0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wentylatory w panelu podsufitowym</w:t>
            </w:r>
            <w:r w:rsidR="001B41F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regulowane termostatem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3038A" w:rsidRDefault="0013038A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3038A" w:rsidRPr="00FC790D" w:rsidRDefault="0013038A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3038A" w:rsidRPr="00FC790D" w:rsidRDefault="0013038A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3038A" w:rsidRPr="00FC790D" w:rsidTr="0090557F">
        <w:trPr>
          <w:trHeight w:hRule="exact" w:val="83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3038A" w:rsidRPr="00FC790D" w:rsidRDefault="0013038A" w:rsidP="00FF02EF">
            <w:pPr>
              <w:pStyle w:val="Tekstkomentarza"/>
              <w:numPr>
                <w:ilvl w:val="0"/>
                <w:numId w:val="5"/>
              </w:numPr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3038A" w:rsidRPr="00525958" w:rsidRDefault="0090557F" w:rsidP="00B01B8E">
            <w:pPr>
              <w:pStyle w:val="Akapitzlist"/>
              <w:suppressAutoHyphens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Instalacja dostarczanej w ramach zamówienia </w:t>
            </w:r>
            <w:r w:rsidR="00B01B8E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centrali telefonicznej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wyposażenia w dostarczonej w ramach zamówienia Szafie RACK 19’’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3038A" w:rsidRDefault="0013038A" w:rsidP="00656C87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3038A" w:rsidRPr="00FC790D" w:rsidRDefault="0013038A" w:rsidP="0018215F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3038A" w:rsidRPr="00FC790D" w:rsidRDefault="0013038A" w:rsidP="0018215F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195B1E" w:rsidRDefault="00195B1E" w:rsidP="005F666C">
      <w:pPr>
        <w:rPr>
          <w:rFonts w:asciiTheme="minorHAnsi" w:hAnsiTheme="minorHAnsi"/>
          <w:sz w:val="20"/>
        </w:rPr>
      </w:pPr>
    </w:p>
    <w:p w:rsidR="00350BA3" w:rsidRDefault="00350BA3" w:rsidP="005F666C">
      <w:pPr>
        <w:rPr>
          <w:rFonts w:asciiTheme="minorHAnsi" w:hAnsiTheme="minorHAnsi"/>
          <w:sz w:val="20"/>
        </w:rPr>
      </w:pPr>
    </w:p>
    <w:p w:rsidR="00C16352" w:rsidRDefault="00C16352" w:rsidP="00350BA3">
      <w:pPr>
        <w:pStyle w:val="Nagwek4"/>
      </w:pPr>
    </w:p>
    <w:p w:rsidR="00350BA3" w:rsidRDefault="0085737B" w:rsidP="00CD728C">
      <w:r>
        <w:t>Wymagania dla</w:t>
      </w:r>
      <w:r w:rsidR="00CD728C">
        <w:t>:</w:t>
      </w:r>
      <w:r w:rsidRPr="00CD728C">
        <w:rPr>
          <w:szCs w:val="24"/>
        </w:rPr>
        <w:t xml:space="preserve"> </w:t>
      </w:r>
      <w:r w:rsidR="00CD728C" w:rsidRPr="00CD728C">
        <w:rPr>
          <w:rFonts w:cs="Calibri"/>
          <w:szCs w:val="24"/>
        </w:rPr>
        <w:t>Aparat syst</w:t>
      </w:r>
      <w:r w:rsidR="00803FDF">
        <w:rPr>
          <w:rFonts w:cs="Calibri"/>
          <w:szCs w:val="24"/>
        </w:rPr>
        <w:t>emowy kompatybilny z oferowaną</w:t>
      </w:r>
      <w:r w:rsidR="00CD728C" w:rsidRPr="00CD728C">
        <w:rPr>
          <w:rFonts w:cs="Calibri"/>
          <w:szCs w:val="24"/>
        </w:rPr>
        <w:t xml:space="preserve"> centralą – 2 </w:t>
      </w:r>
      <w:r w:rsidR="00CD728C">
        <w:rPr>
          <w:rFonts w:cs="Calibri"/>
          <w:szCs w:val="24"/>
        </w:rPr>
        <w:t>szt.</w:t>
      </w:r>
      <w:r w:rsidR="00CD728C">
        <w:t xml:space="preserve"> </w:t>
      </w:r>
    </w:p>
    <w:p w:rsidR="009722B0" w:rsidRPr="009722B0" w:rsidRDefault="009722B0" w:rsidP="009722B0"/>
    <w:p w:rsidR="00A161F1" w:rsidRDefault="00A161F1" w:rsidP="00A161F1"/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A161F1" w:rsidRPr="00A57E33" w:rsidTr="00040CD8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A161F1" w:rsidRPr="00A57E33" w:rsidRDefault="00A161F1" w:rsidP="00040CD8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A161F1" w:rsidRPr="00A57E33" w:rsidRDefault="00A161F1" w:rsidP="00040CD8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A161F1" w:rsidRPr="00A57E33" w:rsidRDefault="00A161F1" w:rsidP="00040CD8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A161F1" w:rsidRPr="00A57E33" w:rsidRDefault="00A161F1" w:rsidP="00040CD8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A161F1" w:rsidRPr="00A57E33" w:rsidRDefault="00A161F1" w:rsidP="00040CD8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9F20A6" w:rsidRPr="00FC790D" w:rsidTr="002E6B4B">
        <w:trPr>
          <w:trHeight w:hRule="exact" w:val="383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F20A6" w:rsidRPr="00FC790D" w:rsidRDefault="009F20A6" w:rsidP="00A161F1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funkcjonalność</w:t>
            </w:r>
            <w:r w:rsidRPr="009F20A6">
              <w:rPr>
                <w:rFonts w:asciiTheme="minorHAnsi" w:hAnsiTheme="minorHAnsi" w:cs="Calibri"/>
                <w:sz w:val="20"/>
              </w:rPr>
              <w:t xml:space="preserve"> </w:t>
            </w:r>
            <w:r>
              <w:rPr>
                <w:rFonts w:asciiTheme="minorHAnsi" w:hAnsiTheme="minorHAnsi" w:cs="Calibri"/>
                <w:sz w:val="20"/>
              </w:rPr>
              <w:t xml:space="preserve">aparatów systemowych/cyfrowych: </w:t>
            </w:r>
          </w:p>
          <w:p w:rsidR="009F20A6" w:rsidRP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>Podłączenie do centrali telefonicznej IPPABX –  jednoparowe</w:t>
            </w:r>
          </w:p>
          <w:p w:rsidR="009F20A6" w:rsidRP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>Zasilanie – z centrali telefonicznej IPPABX</w:t>
            </w:r>
          </w:p>
          <w:p w:rsidR="009F20A6" w:rsidRP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>Wyświetlacz – LCD (przynajmniej 3 liniowy z możliwością regulacji kontrastu)</w:t>
            </w:r>
            <w:r w:rsidR="00EF596A">
              <w:rPr>
                <w:rFonts w:asciiTheme="minorHAnsi" w:hAnsiTheme="minorHAnsi" w:cs="Calibri"/>
                <w:sz w:val="20"/>
              </w:rPr>
              <w:t xml:space="preserve"> z podświetleniem</w:t>
            </w:r>
          </w:p>
          <w:p w:rsidR="009F20A6" w:rsidRP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 xml:space="preserve">Ilość klawiszy programowalnych </w:t>
            </w:r>
            <w:r w:rsidR="002E6B4B">
              <w:rPr>
                <w:rFonts w:asciiTheme="minorHAnsi" w:hAnsiTheme="minorHAnsi" w:cs="Calibri"/>
                <w:sz w:val="20"/>
              </w:rPr>
              <w:t xml:space="preserve">z diodami sygnalizacyjnymi </w:t>
            </w:r>
            <w:r w:rsidRPr="009F20A6">
              <w:rPr>
                <w:rFonts w:asciiTheme="minorHAnsi" w:hAnsiTheme="minorHAnsi" w:cs="Calibri"/>
                <w:sz w:val="20"/>
              </w:rPr>
              <w:t>– minimum 24</w:t>
            </w:r>
          </w:p>
          <w:p w:rsidR="009F20A6" w:rsidRP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>Możliwość zastosowania konsoli DSS – TAK</w:t>
            </w:r>
          </w:p>
          <w:p w:rsidR="009F20A6" w:rsidRP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>Gniazdo słuchawkowe – TAK</w:t>
            </w:r>
          </w:p>
          <w:p w:rsidR="009F20A6" w:rsidRP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>Funkcja EHS – TAK</w:t>
            </w:r>
          </w:p>
          <w:p w:rsidR="009F20A6" w:rsidRP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>Dodatkowa słuchawka nagłowna z EHS – TAK</w:t>
            </w:r>
          </w:p>
          <w:p w:rsidR="009F20A6" w:rsidRPr="009F20A6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>Funkcja głośnomówiąca – TAK</w:t>
            </w:r>
          </w:p>
          <w:p w:rsidR="009F20A6" w:rsidRPr="00D04EE4" w:rsidRDefault="009F20A6" w:rsidP="009F20A6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9F20A6">
              <w:rPr>
                <w:rFonts w:asciiTheme="minorHAnsi" w:hAnsiTheme="minorHAnsi" w:cs="Calibri"/>
                <w:sz w:val="20"/>
              </w:rPr>
              <w:t>Regulacja głośności – TAK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F20A6" w:rsidRPr="00FC790D" w:rsidRDefault="009F20A6" w:rsidP="00040CD8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F20A6" w:rsidRPr="00FC790D" w:rsidRDefault="009F20A6" w:rsidP="00040CD8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F20A6" w:rsidRPr="00FC790D" w:rsidRDefault="009F20A6" w:rsidP="00040CD8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A161F1" w:rsidRPr="00FC790D" w:rsidTr="00D303A0">
        <w:trPr>
          <w:trHeight w:hRule="exact" w:val="115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A161F1" w:rsidRPr="00FC790D" w:rsidRDefault="00A161F1" w:rsidP="00A161F1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D303A0" w:rsidRPr="00D04EE4" w:rsidRDefault="00D303A0" w:rsidP="00D303A0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04EE4">
              <w:rPr>
                <w:rFonts w:asciiTheme="minorHAnsi" w:hAnsiTheme="minorHAnsi" w:cs="Calibri"/>
                <w:sz w:val="20"/>
              </w:rPr>
              <w:t>Obsługa łączności telefonicznej w układzie:</w:t>
            </w:r>
          </w:p>
          <w:p w:rsidR="00D303A0" w:rsidRPr="00D04EE4" w:rsidRDefault="00D303A0" w:rsidP="00D303A0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04EE4">
              <w:rPr>
                <w:rFonts w:asciiTheme="minorHAnsi" w:hAnsiTheme="minorHAnsi" w:cs="Calibri"/>
                <w:sz w:val="20"/>
              </w:rPr>
              <w:t>- awizo</w:t>
            </w:r>
          </w:p>
          <w:p w:rsidR="00D303A0" w:rsidRPr="00D04EE4" w:rsidRDefault="00D303A0" w:rsidP="00D303A0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04EE4">
              <w:rPr>
                <w:rFonts w:asciiTheme="minorHAnsi" w:hAnsiTheme="minorHAnsi" w:cs="Calibri"/>
                <w:sz w:val="20"/>
              </w:rPr>
              <w:t>- sekretarsko-dyrektorskim</w:t>
            </w:r>
          </w:p>
          <w:p w:rsidR="00C16352" w:rsidRPr="00D04EE4" w:rsidRDefault="00D303A0" w:rsidP="00D303A0">
            <w:pPr>
              <w:pStyle w:val="Tabela1"/>
              <w:ind w:right="50"/>
              <w:jc w:val="both"/>
              <w:rPr>
                <w:rFonts w:asciiTheme="minorHAnsi" w:hAnsiTheme="minorHAnsi" w:cs="Calibri"/>
                <w:sz w:val="20"/>
              </w:rPr>
            </w:pPr>
            <w:r w:rsidRPr="00D04EE4">
              <w:rPr>
                <w:rFonts w:asciiTheme="minorHAnsi" w:hAnsiTheme="minorHAnsi" w:cs="Calibri"/>
                <w:sz w:val="20"/>
              </w:rPr>
              <w:t>- pulpitu dyspozytorskiego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161F1" w:rsidRPr="00FC790D" w:rsidRDefault="00A161F1" w:rsidP="00040CD8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A161F1" w:rsidRPr="00FC790D" w:rsidRDefault="00A161F1" w:rsidP="00040CD8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A161F1" w:rsidRPr="00FC790D" w:rsidRDefault="00A161F1" w:rsidP="00040CD8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4175D2" w:rsidRPr="00FC790D" w:rsidTr="00EF596A">
        <w:trPr>
          <w:trHeight w:hRule="exact" w:val="32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4175D2" w:rsidRPr="00FC790D" w:rsidRDefault="004175D2" w:rsidP="00A161F1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175D2" w:rsidRDefault="00734301" w:rsidP="003D7580">
            <w:pPr>
              <w:pStyle w:val="Tabela1"/>
              <w:ind w:right="5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Montaż i </w:t>
            </w:r>
            <w:r w:rsidRPr="008B6C56">
              <w:rPr>
                <w:rFonts w:asciiTheme="minorHAnsi" w:hAnsiTheme="minorHAnsi" w:cs="Arial"/>
                <w:sz w:val="20"/>
              </w:rPr>
              <w:t>I</w:t>
            </w:r>
            <w:r w:rsidR="008B6C56" w:rsidRPr="008B6C56">
              <w:rPr>
                <w:rFonts w:asciiTheme="minorHAnsi" w:hAnsiTheme="minorHAnsi" w:cs="Arial"/>
                <w:sz w:val="20"/>
              </w:rPr>
              <w:t>nstalacja</w:t>
            </w:r>
            <w:r>
              <w:rPr>
                <w:rFonts w:asciiTheme="minorHAnsi" w:hAnsiTheme="minorHAnsi" w:cs="Arial"/>
                <w:sz w:val="20"/>
              </w:rPr>
              <w:t xml:space="preserve">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175D2" w:rsidRDefault="004175D2" w:rsidP="00040CD8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4175D2" w:rsidRPr="00FC790D" w:rsidRDefault="004175D2" w:rsidP="00040CD8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4175D2" w:rsidRPr="00FC790D" w:rsidRDefault="004175D2" w:rsidP="00040CD8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B3AF3" w:rsidRPr="00FC790D" w:rsidTr="00EF596A">
        <w:trPr>
          <w:trHeight w:hRule="exact" w:val="51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B3AF3" w:rsidRPr="00FC790D" w:rsidRDefault="009B3AF3" w:rsidP="00A161F1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B3AF3" w:rsidRPr="00450EFB" w:rsidRDefault="003E4442" w:rsidP="00450EFB">
            <w:pPr>
              <w:rPr>
                <w:rFonts w:asciiTheme="minorHAnsi" w:hAnsiTheme="minorHAnsi"/>
                <w:sz w:val="20"/>
                <w:lang w:val="en"/>
              </w:rPr>
            </w:pPr>
            <w:proofErr w:type="spellStart"/>
            <w:r w:rsidRPr="00450EFB">
              <w:rPr>
                <w:rFonts w:asciiTheme="minorHAnsi" w:hAnsiTheme="minorHAnsi"/>
                <w:sz w:val="20"/>
                <w:lang w:val="en"/>
              </w:rPr>
              <w:t>Rejestr</w:t>
            </w:r>
            <w:proofErr w:type="spellEnd"/>
            <w:r w:rsidRPr="00450EFB">
              <w:rPr>
                <w:rFonts w:asciiTheme="minorHAnsi" w:hAnsiTheme="minorHAnsi"/>
                <w:sz w:val="20"/>
                <w:lang w:val="en"/>
              </w:rPr>
              <w:t xml:space="preserve"> </w:t>
            </w:r>
            <w:proofErr w:type="spellStart"/>
            <w:r w:rsidRPr="00450EFB">
              <w:rPr>
                <w:rFonts w:asciiTheme="minorHAnsi" w:hAnsiTheme="minorHAnsi"/>
                <w:sz w:val="20"/>
                <w:lang w:val="en"/>
              </w:rPr>
              <w:t>rozmów</w:t>
            </w:r>
            <w:proofErr w:type="spellEnd"/>
            <w:r w:rsidRPr="00450EFB">
              <w:rPr>
                <w:rFonts w:asciiTheme="minorHAnsi" w:hAnsiTheme="minorHAnsi"/>
                <w:sz w:val="20"/>
                <w:lang w:val="en"/>
              </w:rPr>
              <w:t xml:space="preserve"> </w:t>
            </w:r>
            <w:proofErr w:type="spellStart"/>
            <w:r w:rsidRPr="00450EFB">
              <w:rPr>
                <w:rFonts w:asciiTheme="minorHAnsi" w:hAnsiTheme="minorHAnsi"/>
                <w:sz w:val="20"/>
                <w:lang w:val="en"/>
              </w:rPr>
              <w:t>przychodzących</w:t>
            </w:r>
            <w:proofErr w:type="spellEnd"/>
            <w:r w:rsidRPr="00450EFB">
              <w:rPr>
                <w:rFonts w:asciiTheme="minorHAnsi" w:hAnsiTheme="minorHAnsi"/>
                <w:sz w:val="20"/>
                <w:lang w:val="en"/>
              </w:rPr>
              <w:t xml:space="preserve"> / </w:t>
            </w:r>
            <w:proofErr w:type="spellStart"/>
            <w:r w:rsidRPr="00450EFB">
              <w:rPr>
                <w:rFonts w:asciiTheme="minorHAnsi" w:hAnsiTheme="minorHAnsi"/>
                <w:sz w:val="20"/>
                <w:lang w:val="en"/>
              </w:rPr>
              <w:t>wychodzących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B3AF3" w:rsidRPr="00FC790D" w:rsidRDefault="009B3AF3" w:rsidP="00040CD8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B3AF3" w:rsidRPr="00FC790D" w:rsidRDefault="009B3AF3" w:rsidP="00040CD8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B3AF3" w:rsidRPr="00FC790D" w:rsidRDefault="009B3AF3" w:rsidP="00040CD8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B3AF3" w:rsidRPr="00FC790D" w:rsidTr="00EF596A">
        <w:trPr>
          <w:trHeight w:hRule="exact" w:val="42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B3AF3" w:rsidRPr="00FC790D" w:rsidRDefault="009B3AF3" w:rsidP="00A161F1">
            <w:pPr>
              <w:pStyle w:val="Tabela1"/>
              <w:numPr>
                <w:ilvl w:val="0"/>
                <w:numId w:val="8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B3AF3" w:rsidRDefault="007F636F" w:rsidP="00040CD8">
            <w:pPr>
              <w:pStyle w:val="Tabela1"/>
              <w:ind w:right="5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Ponowne wybieranie numeru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B3AF3" w:rsidRPr="00FC790D" w:rsidRDefault="009B3AF3" w:rsidP="00040CD8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B3AF3" w:rsidRPr="00FC790D" w:rsidRDefault="009B3AF3" w:rsidP="00040CD8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B3AF3" w:rsidRPr="00FC790D" w:rsidRDefault="009B3AF3" w:rsidP="00040CD8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350BA3" w:rsidRDefault="00350BA3" w:rsidP="005F666C">
      <w:pPr>
        <w:rPr>
          <w:rFonts w:asciiTheme="minorHAnsi" w:hAnsiTheme="minorHAnsi"/>
          <w:sz w:val="20"/>
        </w:rPr>
      </w:pPr>
    </w:p>
    <w:p w:rsidR="00263A1D" w:rsidRDefault="00263A1D" w:rsidP="001F4E3A">
      <w:pPr>
        <w:ind w:left="1843" w:hanging="1843"/>
      </w:pPr>
    </w:p>
    <w:p w:rsidR="00263A1D" w:rsidRDefault="00263A1D" w:rsidP="001F4E3A">
      <w:pPr>
        <w:ind w:left="1843" w:hanging="1843"/>
      </w:pPr>
    </w:p>
    <w:p w:rsidR="009C1556" w:rsidRDefault="009C1556" w:rsidP="001F4E3A">
      <w:pPr>
        <w:ind w:left="1843" w:hanging="1843"/>
      </w:pPr>
      <w:r>
        <w:t>Wymagania dla</w:t>
      </w:r>
      <w:r w:rsidRPr="001F391C">
        <w:rPr>
          <w:szCs w:val="24"/>
        </w:rPr>
        <w:t xml:space="preserve">: </w:t>
      </w:r>
      <w:r w:rsidRPr="001F391C">
        <w:rPr>
          <w:rFonts w:cs="Calibri"/>
          <w:szCs w:val="24"/>
        </w:rPr>
        <w:t xml:space="preserve"> </w:t>
      </w:r>
      <w:r w:rsidR="0025506A">
        <w:rPr>
          <w:rFonts w:cs="Calibri"/>
          <w:szCs w:val="24"/>
        </w:rPr>
        <w:t xml:space="preserve">Łącze </w:t>
      </w:r>
      <w:r w:rsidR="001F391C" w:rsidRPr="001F391C">
        <w:rPr>
          <w:rFonts w:cs="Calibri"/>
          <w:szCs w:val="24"/>
        </w:rPr>
        <w:t xml:space="preserve"> szerokopasmowe do operatora dla połączeń głosowych, video, transmisji danych </w:t>
      </w:r>
      <w:r w:rsidRPr="00CD728C">
        <w:rPr>
          <w:rFonts w:cs="Calibri"/>
          <w:szCs w:val="24"/>
        </w:rPr>
        <w:t xml:space="preserve">– </w:t>
      </w:r>
      <w:r w:rsidR="00644DBF">
        <w:rPr>
          <w:rFonts w:cs="Calibri"/>
          <w:szCs w:val="24"/>
        </w:rPr>
        <w:t>1</w:t>
      </w:r>
      <w:r w:rsidRPr="00CD728C">
        <w:rPr>
          <w:rFonts w:cs="Calibri"/>
          <w:szCs w:val="24"/>
        </w:rPr>
        <w:t xml:space="preserve"> </w:t>
      </w:r>
      <w:r>
        <w:rPr>
          <w:rFonts w:cs="Calibri"/>
          <w:szCs w:val="24"/>
        </w:rPr>
        <w:t>szt.</w:t>
      </w:r>
      <w:r>
        <w:t xml:space="preserve"> </w:t>
      </w:r>
    </w:p>
    <w:p w:rsidR="009C1556" w:rsidRPr="009722B0" w:rsidRDefault="009C1556" w:rsidP="009C1556"/>
    <w:p w:rsidR="009C1556" w:rsidRDefault="009C1556" w:rsidP="009C1556"/>
    <w:tbl>
      <w:tblPr>
        <w:tblW w:w="10309" w:type="dxa"/>
        <w:tblInd w:w="-102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851"/>
        <w:gridCol w:w="5051"/>
        <w:gridCol w:w="1517"/>
        <w:gridCol w:w="1183"/>
        <w:gridCol w:w="1707"/>
      </w:tblGrid>
      <w:tr w:rsidR="009C1556" w:rsidRPr="00A57E33" w:rsidTr="004F2C56">
        <w:trPr>
          <w:trHeight w:hRule="exact" w:val="591"/>
          <w:tblHeader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9C1556" w:rsidRPr="00A57E33" w:rsidRDefault="009C1556" w:rsidP="004F2C56">
            <w:pPr>
              <w:pStyle w:val="Tabela1a"/>
              <w:spacing w:before="0" w:after="0"/>
              <w:ind w:left="142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Lp.</w:t>
            </w: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9C1556" w:rsidRPr="00A57E33" w:rsidRDefault="009C1556" w:rsidP="004F2C56">
            <w:pPr>
              <w:pStyle w:val="Tabela1"/>
              <w:spacing w:before="0" w:after="0"/>
              <w:ind w:right="5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Wymagania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9C1556" w:rsidRPr="00A57E33" w:rsidRDefault="009C1556" w:rsidP="004F2C56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Wymagane bezwzględnie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  <w:shd w:val="clear" w:color="000080" w:fill="auto"/>
            <w:vAlign w:val="center"/>
          </w:tcPr>
          <w:p w:rsidR="009C1556" w:rsidRPr="00A57E33" w:rsidRDefault="009C1556" w:rsidP="004F2C56">
            <w:pPr>
              <w:pStyle w:val="Tabela1"/>
              <w:spacing w:before="0" w:after="0"/>
              <w:ind w:left="0" w:firstLine="113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>Tak/Nie</w:t>
            </w: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000080" w:fill="auto"/>
            <w:vAlign w:val="center"/>
          </w:tcPr>
          <w:p w:rsidR="009C1556" w:rsidRPr="00A57E33" w:rsidRDefault="009C1556" w:rsidP="004F2C56">
            <w:pPr>
              <w:pStyle w:val="Tabela1"/>
              <w:spacing w:before="0" w:after="0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A57E33">
              <w:rPr>
                <w:rFonts w:ascii="Calibri" w:hAnsi="Calibri" w:cs="Calibri"/>
                <w:b/>
                <w:bCs/>
                <w:sz w:val="20"/>
              </w:rPr>
              <w:t>Informacje Wykonawcy</w:t>
            </w:r>
          </w:p>
        </w:tc>
      </w:tr>
      <w:tr w:rsidR="009C1556" w:rsidRPr="00FC790D" w:rsidTr="008866E7">
        <w:trPr>
          <w:trHeight w:hRule="exact" w:val="139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C1556" w:rsidRPr="00FC790D" w:rsidRDefault="009C1556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Pr="006833C8" w:rsidRDefault="0051030B" w:rsidP="006C3BB5">
            <w:pPr>
              <w:pStyle w:val="Tabela1"/>
              <w:ind w:left="102" w:right="50"/>
              <w:jc w:val="both"/>
              <w:rPr>
                <w:rFonts w:asciiTheme="minorHAnsi" w:hAnsiTheme="minorHAnsi" w:cs="Arial"/>
                <w:sz w:val="20"/>
              </w:rPr>
            </w:pPr>
            <w:r w:rsidRPr="006833C8">
              <w:rPr>
                <w:rFonts w:asciiTheme="minorHAnsi" w:hAnsiTheme="minorHAnsi" w:cs="Arial"/>
                <w:sz w:val="20"/>
              </w:rPr>
              <w:t>Łą</w:t>
            </w:r>
            <w:r w:rsidR="00624540">
              <w:rPr>
                <w:rFonts w:asciiTheme="minorHAnsi" w:hAnsiTheme="minorHAnsi" w:cs="Arial"/>
                <w:sz w:val="20"/>
              </w:rPr>
              <w:t>cze o przepustowości</w:t>
            </w:r>
            <w:r w:rsidRPr="006833C8">
              <w:rPr>
                <w:rFonts w:asciiTheme="minorHAnsi" w:hAnsiTheme="minorHAnsi" w:cs="Arial"/>
                <w:sz w:val="20"/>
              </w:rPr>
              <w:t xml:space="preserve"> min. </w:t>
            </w:r>
            <w:r w:rsidRPr="00D62A2A">
              <w:rPr>
                <w:rFonts w:asciiTheme="minorHAnsi" w:hAnsiTheme="minorHAnsi" w:cs="Arial"/>
                <w:sz w:val="20"/>
              </w:rPr>
              <w:t xml:space="preserve">40 </w:t>
            </w:r>
            <w:r w:rsidR="008866E7">
              <w:rPr>
                <w:rFonts w:asciiTheme="minorHAnsi" w:hAnsiTheme="minorHAnsi" w:cs="Arial"/>
                <w:sz w:val="20"/>
              </w:rPr>
              <w:t xml:space="preserve">równoczesnych </w:t>
            </w:r>
            <w:r w:rsidR="00624540">
              <w:rPr>
                <w:rFonts w:asciiTheme="minorHAnsi" w:hAnsiTheme="minorHAnsi" w:cs="Arial"/>
                <w:sz w:val="20"/>
              </w:rPr>
              <w:t>połączeń</w:t>
            </w:r>
            <w:r w:rsidRPr="006833C8">
              <w:rPr>
                <w:rFonts w:asciiTheme="minorHAnsi" w:hAnsiTheme="minorHAnsi" w:cs="Arial"/>
                <w:sz w:val="20"/>
              </w:rPr>
              <w:t xml:space="preserve"> </w:t>
            </w:r>
            <w:r w:rsidR="00CC52B3">
              <w:rPr>
                <w:rFonts w:asciiTheme="minorHAnsi" w:hAnsiTheme="minorHAnsi" w:cs="Arial"/>
                <w:sz w:val="20"/>
              </w:rPr>
              <w:t xml:space="preserve">telefonicznych </w:t>
            </w:r>
            <w:r w:rsidR="008866E7">
              <w:rPr>
                <w:rFonts w:asciiTheme="minorHAnsi" w:hAnsiTheme="minorHAnsi" w:cs="Arial"/>
                <w:sz w:val="20"/>
              </w:rPr>
              <w:t>(z możliwością rozbudowy)</w:t>
            </w:r>
            <w:r w:rsidRPr="006833C8">
              <w:rPr>
                <w:rFonts w:asciiTheme="minorHAnsi" w:hAnsiTheme="minorHAnsi" w:cs="Arial"/>
                <w:sz w:val="20"/>
              </w:rPr>
              <w:t xml:space="preserve"> </w:t>
            </w:r>
            <w:r w:rsidR="008866E7">
              <w:rPr>
                <w:rFonts w:asciiTheme="minorHAnsi" w:hAnsiTheme="minorHAnsi" w:cs="Arial"/>
                <w:sz w:val="20"/>
              </w:rPr>
              <w:t xml:space="preserve">do i z telefonicznej sieci publicznej </w:t>
            </w:r>
            <w:r w:rsidRPr="006833C8">
              <w:rPr>
                <w:rFonts w:asciiTheme="minorHAnsi" w:hAnsiTheme="minorHAnsi" w:cs="Arial"/>
                <w:sz w:val="20"/>
              </w:rPr>
              <w:t>oraz</w:t>
            </w:r>
            <w:r w:rsidR="007867BC">
              <w:rPr>
                <w:rFonts w:asciiTheme="minorHAnsi" w:hAnsiTheme="minorHAnsi" w:cs="Arial"/>
                <w:sz w:val="20"/>
              </w:rPr>
              <w:t xml:space="preserve"> symetrycznej </w:t>
            </w:r>
            <w:r w:rsidRPr="006833C8">
              <w:rPr>
                <w:rFonts w:asciiTheme="minorHAnsi" w:hAnsiTheme="minorHAnsi" w:cs="Arial"/>
                <w:sz w:val="20"/>
              </w:rPr>
              <w:t xml:space="preserve"> transmisji danych </w:t>
            </w:r>
            <w:r w:rsidR="007867BC">
              <w:rPr>
                <w:rFonts w:asciiTheme="minorHAnsi" w:hAnsiTheme="minorHAnsi" w:cs="Arial"/>
                <w:sz w:val="20"/>
              </w:rPr>
              <w:t xml:space="preserve">do sieci </w:t>
            </w:r>
            <w:proofErr w:type="spellStart"/>
            <w:r w:rsidR="007867BC">
              <w:rPr>
                <w:rFonts w:asciiTheme="minorHAnsi" w:hAnsiTheme="minorHAnsi" w:cs="Arial"/>
                <w:sz w:val="20"/>
              </w:rPr>
              <w:t>internet</w:t>
            </w:r>
            <w:proofErr w:type="spellEnd"/>
            <w:r w:rsidRPr="006833C8">
              <w:rPr>
                <w:rFonts w:asciiTheme="minorHAnsi" w:hAnsiTheme="minorHAnsi" w:cs="Arial"/>
                <w:sz w:val="20"/>
              </w:rPr>
              <w:t xml:space="preserve"> </w:t>
            </w:r>
            <w:r w:rsidR="00AE190B">
              <w:rPr>
                <w:rFonts w:asciiTheme="minorHAnsi" w:hAnsiTheme="minorHAnsi" w:cs="Arial"/>
                <w:sz w:val="20"/>
              </w:rPr>
              <w:t>(</w:t>
            </w:r>
            <w:proofErr w:type="spellStart"/>
            <w:r w:rsidRPr="006833C8">
              <w:rPr>
                <w:rFonts w:asciiTheme="minorHAnsi" w:hAnsiTheme="minorHAnsi" w:cs="Arial"/>
                <w:sz w:val="20"/>
              </w:rPr>
              <w:t>full</w:t>
            </w:r>
            <w:proofErr w:type="spellEnd"/>
            <w:r w:rsidRPr="006833C8">
              <w:rPr>
                <w:rFonts w:asciiTheme="minorHAnsi" w:hAnsiTheme="minorHAnsi" w:cs="Arial"/>
                <w:sz w:val="20"/>
              </w:rPr>
              <w:t>-duplex</w:t>
            </w:r>
            <w:r w:rsidR="00AE190B">
              <w:rPr>
                <w:rFonts w:asciiTheme="minorHAnsi" w:hAnsiTheme="minorHAnsi" w:cs="Arial"/>
                <w:sz w:val="20"/>
              </w:rPr>
              <w:t>)</w:t>
            </w:r>
            <w:r w:rsidRPr="006833C8">
              <w:rPr>
                <w:rFonts w:asciiTheme="minorHAnsi" w:hAnsiTheme="minorHAnsi" w:cs="Arial"/>
                <w:sz w:val="20"/>
              </w:rPr>
              <w:t xml:space="preserve"> min. </w:t>
            </w:r>
            <w:r w:rsidR="00ED75B7" w:rsidRPr="00C7795E">
              <w:rPr>
                <w:rFonts w:asciiTheme="minorHAnsi" w:hAnsiTheme="minorHAnsi" w:cs="Arial"/>
                <w:sz w:val="20"/>
              </w:rPr>
              <w:t>80</w:t>
            </w:r>
            <w:r w:rsidR="00457D68" w:rsidRPr="00C7795E">
              <w:rPr>
                <w:rFonts w:asciiTheme="minorHAnsi" w:hAnsiTheme="minorHAnsi" w:cs="Arial"/>
                <w:sz w:val="20"/>
              </w:rPr>
              <w:t xml:space="preserve"> </w:t>
            </w:r>
            <w:proofErr w:type="spellStart"/>
            <w:r w:rsidR="00CA4460" w:rsidRPr="00C7795E">
              <w:rPr>
                <w:rFonts w:asciiTheme="minorHAnsi" w:hAnsiTheme="minorHAnsi" w:cs="Arial"/>
                <w:sz w:val="20"/>
              </w:rPr>
              <w:t>Mbps</w:t>
            </w:r>
            <w:proofErr w:type="spellEnd"/>
            <w:r w:rsidRPr="00F670CB">
              <w:rPr>
                <w:rFonts w:asciiTheme="minorHAnsi" w:hAnsiTheme="minorHAnsi" w:cs="Arial"/>
                <w:sz w:val="20"/>
              </w:rPr>
              <w:t xml:space="preserve"> </w:t>
            </w:r>
            <w:proofErr w:type="spellStart"/>
            <w:r w:rsidR="006C3BB5">
              <w:rPr>
                <w:rFonts w:asciiTheme="minorHAnsi" w:hAnsiTheme="minorHAnsi" w:cs="Arial"/>
                <w:sz w:val="20"/>
              </w:rPr>
              <w:t>Upload</w:t>
            </w:r>
            <w:proofErr w:type="spellEnd"/>
            <w:r w:rsidR="006C3BB5">
              <w:rPr>
                <w:rFonts w:asciiTheme="minorHAnsi" w:hAnsiTheme="minorHAnsi" w:cs="Arial"/>
                <w:sz w:val="20"/>
              </w:rPr>
              <w:t>/</w:t>
            </w:r>
            <w:proofErr w:type="spellStart"/>
            <w:r w:rsidR="006C3BB5">
              <w:rPr>
                <w:rFonts w:asciiTheme="minorHAnsi" w:hAnsiTheme="minorHAnsi" w:cs="Arial"/>
                <w:sz w:val="20"/>
              </w:rPr>
              <w:t>Download</w:t>
            </w:r>
            <w:proofErr w:type="spellEnd"/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Default="009C1556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C1556" w:rsidRPr="00FC790D" w:rsidRDefault="009C1556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C1556" w:rsidRPr="00FC790D" w:rsidRDefault="009C1556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70615" w:rsidRPr="00FC790D" w:rsidTr="002332A3">
        <w:trPr>
          <w:trHeight w:hRule="exact" w:val="57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70615" w:rsidRPr="00FC790D" w:rsidRDefault="00070615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43658" w:rsidRPr="006833C8" w:rsidRDefault="00243658" w:rsidP="006833C8">
            <w:pPr>
              <w:spacing w:line="276" w:lineRule="auto"/>
              <w:ind w:left="102"/>
              <w:contextualSpacing/>
              <w:jc w:val="both"/>
              <w:rPr>
                <w:rFonts w:asciiTheme="minorHAnsi" w:hAnsiTheme="minorHAnsi" w:cstheme="minorHAnsi"/>
                <w:sz w:val="20"/>
              </w:rPr>
            </w:pPr>
            <w:r w:rsidRPr="00F670CB">
              <w:rPr>
                <w:rFonts w:asciiTheme="minorHAnsi" w:hAnsiTheme="minorHAnsi" w:cstheme="minorHAnsi"/>
                <w:sz w:val="20"/>
              </w:rPr>
              <w:t xml:space="preserve">Gwarantowana przepustowość łącza do punktu styku z siecią </w:t>
            </w:r>
            <w:proofErr w:type="spellStart"/>
            <w:r w:rsidRPr="00F670CB">
              <w:rPr>
                <w:rFonts w:asciiTheme="minorHAnsi" w:hAnsiTheme="minorHAnsi" w:cstheme="minorHAnsi"/>
                <w:sz w:val="20"/>
              </w:rPr>
              <w:t>internet</w:t>
            </w:r>
            <w:proofErr w:type="spellEnd"/>
            <w:r w:rsidRPr="00F670CB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9859C7" w:rsidRPr="00F670CB">
              <w:rPr>
                <w:rFonts w:asciiTheme="minorHAnsi" w:hAnsiTheme="minorHAnsi" w:cstheme="minorHAnsi"/>
                <w:sz w:val="20"/>
              </w:rPr>
              <w:t xml:space="preserve">(CIR = </w:t>
            </w:r>
            <w:r w:rsidR="00BB5DDA" w:rsidRPr="00F670CB">
              <w:rPr>
                <w:rFonts w:asciiTheme="minorHAnsi" w:hAnsiTheme="minorHAnsi" w:cstheme="minorHAnsi"/>
                <w:sz w:val="20"/>
              </w:rPr>
              <w:t>EIR</w:t>
            </w:r>
            <w:r w:rsidR="009859C7" w:rsidRPr="00F670CB">
              <w:rPr>
                <w:rFonts w:asciiTheme="minorHAnsi" w:hAnsiTheme="minorHAnsi" w:cstheme="minorHAnsi"/>
                <w:sz w:val="20"/>
              </w:rPr>
              <w:t>)</w:t>
            </w:r>
          </w:p>
          <w:p w:rsidR="00070615" w:rsidRPr="006833C8" w:rsidRDefault="00070615" w:rsidP="006833C8">
            <w:pPr>
              <w:ind w:left="102"/>
              <w:rPr>
                <w:rFonts w:asciiTheme="minorHAnsi" w:hAnsiTheme="minorHAnsi" w:cs="Calibri"/>
                <w:sz w:val="20"/>
                <w:highlight w:val="yellow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070615" w:rsidRDefault="00070615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070615" w:rsidRPr="00FC790D" w:rsidRDefault="00070615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70615" w:rsidRPr="00FC790D" w:rsidRDefault="00070615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C1556" w:rsidRPr="00FC790D" w:rsidTr="002F755A">
        <w:trPr>
          <w:trHeight w:hRule="exact" w:val="49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C1556" w:rsidRPr="00FC790D" w:rsidRDefault="009C1556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Pr="006833C8" w:rsidRDefault="002B3235" w:rsidP="002B3235">
            <w:pPr>
              <w:ind w:left="102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Medium </w:t>
            </w:r>
            <w:r w:rsidR="008866E7">
              <w:rPr>
                <w:rFonts w:asciiTheme="minorHAnsi" w:hAnsiTheme="minorHAnsi" w:cs="Calibri"/>
                <w:sz w:val="20"/>
              </w:rPr>
              <w:t>do realizacji usług</w:t>
            </w:r>
            <w:r>
              <w:rPr>
                <w:rFonts w:asciiTheme="minorHAnsi" w:hAnsiTheme="minorHAnsi" w:cs="Calibri"/>
                <w:sz w:val="20"/>
              </w:rPr>
              <w:t>:  światłowód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Default="009C1556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C1556" w:rsidRPr="00FC790D" w:rsidRDefault="009C1556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C1556" w:rsidRPr="00FC790D" w:rsidRDefault="009C1556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7C5D31" w:rsidRPr="00FC790D" w:rsidTr="007C5D31">
        <w:trPr>
          <w:trHeight w:hRule="exact" w:val="57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7C5D31" w:rsidRPr="00FC790D" w:rsidRDefault="007C5D31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7C5D31" w:rsidRDefault="007C5D31" w:rsidP="002F755A">
            <w:pPr>
              <w:ind w:left="102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Możliwość realizacji monitoringu w systemie tonowym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7C5D31" w:rsidRDefault="007C5D31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7C5D31" w:rsidRPr="00FC790D" w:rsidRDefault="007C5D31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7C5D31" w:rsidRPr="00FC790D" w:rsidRDefault="007C5D31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2F755A" w:rsidRPr="00FC790D" w:rsidTr="00AF6BE8">
        <w:trPr>
          <w:trHeight w:hRule="exact" w:val="114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2F755A" w:rsidRPr="00FC790D" w:rsidRDefault="002F755A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F755A" w:rsidRPr="0090670E" w:rsidRDefault="00EB2301" w:rsidP="002F755A">
            <w:pPr>
              <w:ind w:left="102"/>
              <w:rPr>
                <w:rFonts w:asciiTheme="minorHAnsi" w:hAnsiTheme="minorHAnsi" w:cs="Calibri"/>
                <w:sz w:val="20"/>
                <w:highlight w:val="green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Łącze telefoniczne / transmisji danych </w:t>
            </w:r>
            <w:r w:rsidR="002F755A" w:rsidRPr="001B26E2">
              <w:rPr>
                <w:rFonts w:asciiTheme="minorHAnsi" w:hAnsiTheme="minorHAnsi" w:cs="Calibri"/>
                <w:sz w:val="20"/>
              </w:rPr>
              <w:t xml:space="preserve">zrealizowane w oparciu o wybudowane przyłącze światłowodowe zakończone przełącznicą optyczną oraz wysokowydajnym </w:t>
            </w:r>
            <w:proofErr w:type="spellStart"/>
            <w:r w:rsidR="002F755A" w:rsidRPr="001B26E2">
              <w:rPr>
                <w:rFonts w:asciiTheme="minorHAnsi" w:hAnsiTheme="minorHAnsi" w:cs="Calibri"/>
                <w:sz w:val="20"/>
              </w:rPr>
              <w:t>switch'em</w:t>
            </w:r>
            <w:proofErr w:type="spellEnd"/>
            <w:r w:rsidR="002F755A" w:rsidRPr="001B26E2">
              <w:rPr>
                <w:rFonts w:asciiTheme="minorHAnsi" w:hAnsiTheme="minorHAnsi" w:cs="Calibri"/>
                <w:sz w:val="20"/>
              </w:rPr>
              <w:t xml:space="preserve"> optycznym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F755A" w:rsidRDefault="002F755A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2F755A" w:rsidRPr="00FC790D" w:rsidRDefault="002F755A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2F755A" w:rsidRPr="00FC790D" w:rsidRDefault="002F755A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53365" w:rsidRPr="00FC790D" w:rsidTr="007C5D31">
        <w:trPr>
          <w:trHeight w:hRule="exact" w:val="353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53365" w:rsidRPr="00FC790D" w:rsidRDefault="00153365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53365" w:rsidRPr="00153365" w:rsidRDefault="00153365" w:rsidP="00153365">
            <w:pPr>
              <w:ind w:left="102"/>
              <w:rPr>
                <w:rFonts w:asciiTheme="minorHAnsi" w:hAnsiTheme="minorHAnsi" w:cs="Calibri"/>
                <w:sz w:val="20"/>
              </w:rPr>
            </w:pPr>
            <w:r w:rsidRPr="00153365">
              <w:rPr>
                <w:rFonts w:asciiTheme="minorHAnsi" w:hAnsiTheme="minorHAnsi" w:cs="Calibri"/>
                <w:sz w:val="20"/>
              </w:rPr>
              <w:t xml:space="preserve">Dopuszcza się konwersję połączeń telefonicznych do protokołu IP (SIP TRUNK), z zastrzeżeniem że jako medium transmisji nie może być wykorzystana usługa dostępu do </w:t>
            </w:r>
            <w:proofErr w:type="spellStart"/>
            <w:r w:rsidRPr="00153365">
              <w:rPr>
                <w:rFonts w:asciiTheme="minorHAnsi" w:hAnsiTheme="minorHAnsi" w:cs="Calibri"/>
                <w:sz w:val="20"/>
              </w:rPr>
              <w:t>internetu</w:t>
            </w:r>
            <w:proofErr w:type="spellEnd"/>
            <w:r w:rsidRPr="00153365">
              <w:rPr>
                <w:rFonts w:asciiTheme="minorHAnsi" w:hAnsiTheme="minorHAnsi" w:cs="Calibri"/>
                <w:sz w:val="20"/>
              </w:rPr>
              <w:t xml:space="preserve">, a komunikacja z platformą telefoniczna Wykonawcy musi być odpowiednio zabezpieczona, poprzez wydzielenie do platformy telefonicznej Wykonawcy odseparowanego od </w:t>
            </w:r>
            <w:proofErr w:type="spellStart"/>
            <w:r w:rsidRPr="00153365">
              <w:rPr>
                <w:rFonts w:asciiTheme="minorHAnsi" w:hAnsiTheme="minorHAnsi" w:cs="Calibri"/>
                <w:sz w:val="20"/>
              </w:rPr>
              <w:t>internetu</w:t>
            </w:r>
            <w:proofErr w:type="spellEnd"/>
            <w:r w:rsidRPr="00153365">
              <w:rPr>
                <w:rFonts w:asciiTheme="minorHAnsi" w:hAnsiTheme="minorHAnsi" w:cs="Calibri"/>
                <w:sz w:val="20"/>
              </w:rPr>
              <w:t xml:space="preserve"> łącza transmisji danych, dodatkowo autentykacja Centrali IP PBX z platformą Wykonawcy musi się odbywać z wykorzystaniem co najmniej 2 metod, przynajmniej 1 metoda w warstwie aplikacji (model OSI).</w:t>
            </w:r>
          </w:p>
          <w:p w:rsidR="00153365" w:rsidRDefault="00153365" w:rsidP="00153365">
            <w:pPr>
              <w:ind w:left="102"/>
              <w:rPr>
                <w:rFonts w:asciiTheme="minorHAnsi" w:hAnsiTheme="minorHAnsi" w:cs="Calibri"/>
                <w:sz w:val="20"/>
              </w:rPr>
            </w:pPr>
            <w:r w:rsidRPr="00153365">
              <w:rPr>
                <w:rFonts w:asciiTheme="minorHAnsi" w:hAnsiTheme="minorHAnsi" w:cs="Calibri"/>
                <w:sz w:val="20"/>
              </w:rPr>
              <w:t>Ewentualne zastosowanie protokołu IP dotyczącego realizacji usługi telefonicznej, nie może wykorzystywać wysoko kompresowanych kodeków głosowych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53365" w:rsidRDefault="00153365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53365" w:rsidRPr="00FC790D" w:rsidRDefault="00153365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53365" w:rsidRPr="00FC790D" w:rsidRDefault="00153365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94525" w:rsidRPr="00FC790D" w:rsidTr="00083CEB">
        <w:trPr>
          <w:trHeight w:hRule="exact" w:val="184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94525" w:rsidRPr="00FC790D" w:rsidRDefault="00894525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94525" w:rsidRPr="00166D05" w:rsidRDefault="00A23EA2" w:rsidP="001B554B">
            <w:pPr>
              <w:pStyle w:val="Akapitzlist"/>
              <w:suppressAutoHyphens/>
              <w:spacing w:line="276" w:lineRule="auto"/>
              <w:ind w:left="102"/>
              <w:jc w:val="both"/>
              <w:rPr>
                <w:highlight w:val="green"/>
                <w:lang w:val="pl-PL"/>
              </w:rPr>
            </w:pPr>
            <w:r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usługi telefoniczne świadczone n</w:t>
            </w:r>
            <w:r w:rsidR="00FF0BA4"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a dedykowanym interfejsie </w:t>
            </w:r>
            <w:r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poprzez odseparowane od innych sieci </w:t>
            </w:r>
            <w:r w:rsidR="00980C53"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</w:t>
            </w:r>
            <w:r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tym sieci </w:t>
            </w:r>
            <w:proofErr w:type="spellStart"/>
            <w:r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internet</w:t>
            </w:r>
            <w:proofErr w:type="spellEnd"/>
            <w:r w:rsidR="00980C53"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  <w:r w:rsidR="001B554B"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615B13"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łącze transmisji danych zestawione bezpośrednio do platformy telekomunikacyjnej operatora </w:t>
            </w:r>
            <w:r w:rsidR="001B554B" w:rsidRPr="0068397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(ze względów bezpieczeństwa oraz gwarantowanej  jakości usługa nie może być realizowana na łączach internetowych)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94525" w:rsidRDefault="00894525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94525" w:rsidRPr="00FC790D" w:rsidRDefault="00894525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94525" w:rsidRPr="00FC790D" w:rsidRDefault="00894525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84299D" w:rsidRPr="00FC790D" w:rsidTr="0022220B">
        <w:trPr>
          <w:trHeight w:hRule="exact" w:val="155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84299D" w:rsidRPr="00FC790D" w:rsidRDefault="0084299D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4299D" w:rsidRDefault="004913C1" w:rsidP="00637BE2">
            <w:pPr>
              <w:pStyle w:val="Akapitzlist"/>
              <w:suppressAutoHyphens/>
              <w:spacing w:line="276" w:lineRule="auto"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913C1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A728F6" w:rsidRPr="001419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Protokół komunikacyjny: </w:t>
            </w:r>
            <w:r w:rsidRPr="001419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łącze komunikacyjne z platformą </w:t>
            </w:r>
            <w:r w:rsidR="00A17178" w:rsidRPr="001419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telekomunikacyjną operatora </w:t>
            </w:r>
            <w:r w:rsidR="004B2DC3" w:rsidRPr="001419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zrealizowane w oparciu o</w:t>
            </w:r>
            <w:r w:rsidRPr="001419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usługę SIP TRUNK </w:t>
            </w:r>
            <w:r w:rsidR="009F7352" w:rsidRPr="001419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wykorzystującą protokół SIP</w:t>
            </w:r>
            <w:r w:rsidRPr="001419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oraz kodeki głosowe G.711 u/a</w:t>
            </w:r>
            <w:r w:rsidR="007231DC" w:rsidRPr="001419F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oraz protokół T.38 dla transmisji faksowej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4299D" w:rsidRDefault="0084299D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84299D" w:rsidRPr="00FC790D" w:rsidRDefault="0084299D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84299D" w:rsidRPr="00FC790D" w:rsidRDefault="0084299D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5D2E5A" w:rsidRPr="00FC790D" w:rsidTr="0022220B">
        <w:trPr>
          <w:trHeight w:hRule="exact" w:val="169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5D2E5A" w:rsidRPr="00FC790D" w:rsidRDefault="005D2E5A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D2E5A" w:rsidRPr="00E11B74" w:rsidRDefault="00D46448" w:rsidP="00CD2B4D">
            <w:pPr>
              <w:pStyle w:val="Akapitzlist"/>
              <w:suppressAutoHyphens/>
              <w:spacing w:line="276" w:lineRule="auto"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przypadku awarii łącza, </w:t>
            </w:r>
            <w:r w:rsidR="00CD2B4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backup dla połączeń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telefonicznych </w:t>
            </w:r>
            <w:r w:rsidR="00CD2B4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do</w:t>
            </w:r>
            <w:r w:rsidR="00C8318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CD2B4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/ z telefonicznej sieci publicznej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realizowany </w:t>
            </w:r>
            <w:r w:rsidR="00C8318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oparciu o sieć GSM</w:t>
            </w:r>
            <w:r w:rsidR="001E293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(karty SIM zapewnia Zamawiający)</w:t>
            </w:r>
            <w:r w:rsidR="00C8318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 pomocą przekierowania</w:t>
            </w:r>
            <w:r w:rsidR="0057794A" w:rsidRPr="0057794A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przychodzącego ruchu telefonicznego na numery in</w:t>
            </w:r>
            <w:r w:rsidR="00CD2B4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nego operatora, np. bramka GSM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D2E5A" w:rsidRDefault="005D2E5A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5D2E5A" w:rsidRPr="00FC790D" w:rsidRDefault="005D2E5A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D2E5A" w:rsidRPr="00FC790D" w:rsidRDefault="005D2E5A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5D2E5A" w:rsidRPr="00FC790D" w:rsidTr="008E02A8">
        <w:trPr>
          <w:trHeight w:hRule="exact" w:val="169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5D2E5A" w:rsidRPr="00FC790D" w:rsidRDefault="005D2E5A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D2E5A" w:rsidRPr="00E11B74" w:rsidRDefault="008E02A8" w:rsidP="00E11B74">
            <w:pPr>
              <w:pStyle w:val="Akapitzlist"/>
              <w:suppressAutoHyphens/>
              <w:spacing w:line="276" w:lineRule="auto"/>
              <w:ind w:left="102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8E02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proponowane rozwiązanie </w:t>
            </w:r>
            <w:r w:rsidR="00284B9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musi </w:t>
            </w:r>
            <w:r w:rsidRPr="008E02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zapewnia</w:t>
            </w:r>
            <w:r w:rsidR="00284B9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ć</w:t>
            </w:r>
            <w:r w:rsidRPr="008E02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bezproblemową transmisję faksową, dzięki gwarantowaniu odpowiedniej przepustowości łącza do platformy te</w:t>
            </w:r>
            <w:r w:rsidR="00284B9B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lekomunikacyjnej operatora </w:t>
            </w:r>
            <w:r w:rsidRPr="008E02A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oraz niestosowaniu kompresji kodeków głosowych/ faksowych wykorzystywanych w usłudze SIP TRUNK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D2E5A" w:rsidRDefault="005D2E5A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5D2E5A" w:rsidRPr="00FC790D" w:rsidRDefault="005D2E5A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D2E5A" w:rsidRPr="00FC790D" w:rsidRDefault="005D2E5A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22490" w:rsidRPr="00FC790D" w:rsidTr="00BA24AC">
        <w:trPr>
          <w:trHeight w:hRule="exact" w:val="64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22490" w:rsidRPr="00FC790D" w:rsidRDefault="00322490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22490" w:rsidRPr="006833C8" w:rsidRDefault="007C1E00" w:rsidP="006833C8">
            <w:pPr>
              <w:spacing w:line="276" w:lineRule="auto"/>
              <w:ind w:left="102"/>
              <w:contextualSpacing/>
              <w:jc w:val="both"/>
              <w:rPr>
                <w:rFonts w:asciiTheme="minorHAnsi" w:hAnsiTheme="minorHAnsi"/>
                <w:color w:val="000000"/>
                <w:sz w:val="20"/>
              </w:rPr>
            </w:pPr>
            <w:r w:rsidRPr="009F612F">
              <w:rPr>
                <w:rFonts w:asciiTheme="minorHAnsi" w:hAnsiTheme="minorHAnsi"/>
                <w:color w:val="000000"/>
                <w:sz w:val="20"/>
              </w:rPr>
              <w:t>Ł</w:t>
            </w:r>
            <w:r w:rsidR="00322490" w:rsidRPr="009F612F">
              <w:rPr>
                <w:rFonts w:asciiTheme="minorHAnsi" w:hAnsiTheme="minorHAnsi"/>
                <w:color w:val="000000"/>
                <w:sz w:val="20"/>
              </w:rPr>
              <w:t xml:space="preserve">ącze </w:t>
            </w:r>
            <w:r w:rsidR="001400F0" w:rsidRPr="009F612F">
              <w:rPr>
                <w:rFonts w:asciiTheme="minorHAnsi" w:hAnsiTheme="minorHAnsi"/>
                <w:color w:val="000000"/>
                <w:sz w:val="20"/>
              </w:rPr>
              <w:t xml:space="preserve">doprowadzone </w:t>
            </w:r>
            <w:r w:rsidR="00322490" w:rsidRPr="009F612F">
              <w:rPr>
                <w:rFonts w:asciiTheme="minorHAnsi" w:hAnsiTheme="minorHAnsi" w:cs="Calibri"/>
                <w:sz w:val="20"/>
              </w:rPr>
              <w:t xml:space="preserve">do miejsca przeznaczonego </w:t>
            </w:r>
            <w:r w:rsidR="006833C8" w:rsidRPr="009F612F">
              <w:rPr>
                <w:rFonts w:asciiTheme="minorHAnsi" w:hAnsiTheme="minorHAnsi" w:cs="Calibri"/>
                <w:sz w:val="20"/>
              </w:rPr>
              <w:t xml:space="preserve">w Szpitalu </w:t>
            </w:r>
            <w:r w:rsidR="00322490" w:rsidRPr="009F612F">
              <w:rPr>
                <w:rFonts w:asciiTheme="minorHAnsi" w:hAnsiTheme="minorHAnsi" w:cs="Calibri"/>
                <w:sz w:val="20"/>
              </w:rPr>
              <w:t>na lokalizację</w:t>
            </w:r>
            <w:r w:rsidR="006833C8" w:rsidRPr="009F612F">
              <w:rPr>
                <w:rFonts w:asciiTheme="minorHAnsi" w:hAnsiTheme="minorHAnsi" w:cs="Calibri"/>
                <w:sz w:val="20"/>
              </w:rPr>
              <w:t xml:space="preserve"> urządzeń dostępowych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22490" w:rsidRDefault="001400F0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22490" w:rsidRPr="00FC790D" w:rsidRDefault="00322490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22490" w:rsidRPr="00FC790D" w:rsidRDefault="00322490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C7B6C" w:rsidRPr="00FC790D" w:rsidTr="00104E1B">
        <w:trPr>
          <w:trHeight w:hRule="exact" w:val="595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C7B6C" w:rsidRPr="00FC790D" w:rsidRDefault="00FC7B6C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7398A" w:rsidRPr="00E7398A" w:rsidRDefault="00E7398A" w:rsidP="00E7398A">
            <w:pPr>
              <w:spacing w:line="276" w:lineRule="auto"/>
              <w:ind w:left="102"/>
              <w:contextualSpacing/>
              <w:jc w:val="both"/>
              <w:rPr>
                <w:rFonts w:asciiTheme="minorHAnsi" w:hAnsiTheme="minorHAnsi"/>
                <w:color w:val="000000"/>
                <w:sz w:val="20"/>
              </w:rPr>
            </w:pPr>
            <w:r w:rsidRPr="00E7398A">
              <w:rPr>
                <w:rFonts w:asciiTheme="minorHAnsi" w:hAnsiTheme="minorHAnsi"/>
                <w:color w:val="000000"/>
                <w:sz w:val="20"/>
              </w:rPr>
              <w:t>Usługa umożliwia pełny dostęp do sieci publicznej PSTN (rozpoczynanie i zakańczanie połączeń, prezentacja numerów dzwoniącego i wywoływanego)</w:t>
            </w:r>
          </w:p>
          <w:p w:rsidR="00E7398A" w:rsidRPr="00E7398A" w:rsidRDefault="00E7398A" w:rsidP="00E7398A">
            <w:pPr>
              <w:spacing w:line="276" w:lineRule="auto"/>
              <w:ind w:left="102"/>
              <w:contextualSpacing/>
              <w:jc w:val="both"/>
              <w:rPr>
                <w:rFonts w:asciiTheme="minorHAnsi" w:hAnsiTheme="minorHAnsi"/>
                <w:color w:val="000000"/>
                <w:sz w:val="20"/>
              </w:rPr>
            </w:pPr>
            <w:r w:rsidRPr="00E7398A">
              <w:rPr>
                <w:rFonts w:asciiTheme="minorHAnsi" w:hAnsiTheme="minorHAnsi"/>
                <w:color w:val="000000"/>
                <w:sz w:val="20"/>
              </w:rPr>
              <w:t>Wykonawca zapewnia możliwość realizacji połączeń telefonicznych:</w:t>
            </w:r>
          </w:p>
          <w:p w:rsidR="00E7398A" w:rsidRPr="00166D05" w:rsidRDefault="00E7398A" w:rsidP="00E7398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/>
                <w:color w:val="000000"/>
                <w:sz w:val="20"/>
                <w:lang w:val="pl-PL"/>
              </w:rPr>
            </w:pPr>
            <w:r w:rsidRPr="00166D05">
              <w:rPr>
                <w:rFonts w:asciiTheme="minorHAnsi" w:hAnsiTheme="minorHAnsi"/>
                <w:color w:val="000000"/>
                <w:sz w:val="20"/>
                <w:lang w:val="pl-PL"/>
              </w:rPr>
              <w:t>krajowych w tym: miejscowe, strefowe i międzystrefowe</w:t>
            </w:r>
          </w:p>
          <w:p w:rsidR="00E7398A" w:rsidRPr="00E7398A" w:rsidRDefault="00E7398A" w:rsidP="00E7398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na</w:t>
            </w:r>
            <w:proofErr w:type="spellEnd"/>
            <w:r w:rsidRPr="00E7398A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numery</w:t>
            </w:r>
            <w:proofErr w:type="spellEnd"/>
            <w:r w:rsidRPr="00E7398A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komórkowe</w:t>
            </w:r>
            <w:proofErr w:type="spellEnd"/>
          </w:p>
          <w:p w:rsidR="00E7398A" w:rsidRPr="00E7398A" w:rsidRDefault="00E7398A" w:rsidP="00E7398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międzynarodowych</w:t>
            </w:r>
            <w:proofErr w:type="spellEnd"/>
          </w:p>
          <w:p w:rsidR="00E7398A" w:rsidRPr="00E7398A" w:rsidRDefault="00E7398A" w:rsidP="00E7398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zapewnienie</w:t>
            </w:r>
            <w:proofErr w:type="spellEnd"/>
            <w:r w:rsidRPr="00E7398A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transmisji</w:t>
            </w:r>
            <w:proofErr w:type="spellEnd"/>
            <w:r w:rsidRPr="00E7398A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faksu</w:t>
            </w:r>
            <w:proofErr w:type="spellEnd"/>
          </w:p>
          <w:p w:rsidR="00E7398A" w:rsidRPr="00E7398A" w:rsidRDefault="002E2CBF" w:rsidP="00E7398A">
            <w:pPr>
              <w:spacing w:line="276" w:lineRule="auto"/>
              <w:ind w:left="102"/>
              <w:contextualSpacing/>
              <w:jc w:val="both"/>
              <w:rPr>
                <w:rFonts w:asciiTheme="minorHAnsi" w:hAnsiTheme="minorHAnsi"/>
                <w:color w:val="000000"/>
                <w:sz w:val="20"/>
              </w:rPr>
            </w:pPr>
            <w:r w:rsidRPr="00E7398A">
              <w:rPr>
                <w:rFonts w:asciiTheme="minorHAnsi" w:hAnsiTheme="minorHAnsi"/>
                <w:color w:val="000000"/>
                <w:sz w:val="20"/>
              </w:rPr>
              <w:t xml:space="preserve">Wykonawca zapewnia możliwość realizacji </w:t>
            </w:r>
            <w:r>
              <w:rPr>
                <w:rFonts w:asciiTheme="minorHAnsi" w:hAnsiTheme="minorHAnsi"/>
                <w:color w:val="000000"/>
                <w:sz w:val="20"/>
              </w:rPr>
              <w:t>p</w:t>
            </w:r>
            <w:r w:rsidR="00E7398A" w:rsidRPr="00E7398A">
              <w:rPr>
                <w:rFonts w:asciiTheme="minorHAnsi" w:hAnsiTheme="minorHAnsi"/>
                <w:color w:val="000000"/>
                <w:sz w:val="20"/>
              </w:rPr>
              <w:t>ołączenia do:</w:t>
            </w:r>
          </w:p>
          <w:p w:rsidR="00E7398A" w:rsidRPr="00166D05" w:rsidRDefault="00E7398A" w:rsidP="00E7398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/>
                <w:color w:val="000000"/>
                <w:sz w:val="20"/>
                <w:lang w:val="pl-PL"/>
              </w:rPr>
            </w:pPr>
            <w:r w:rsidRPr="00166D05">
              <w:rPr>
                <w:rFonts w:asciiTheme="minorHAnsi" w:hAnsiTheme="minorHAnsi"/>
                <w:color w:val="000000"/>
                <w:sz w:val="20"/>
                <w:lang w:val="pl-PL"/>
              </w:rPr>
              <w:t>służb powołanych ustawowo do niesienia pomocy posiadających numery skrócone</w:t>
            </w:r>
          </w:p>
          <w:p w:rsidR="00E7398A" w:rsidRPr="00166D05" w:rsidRDefault="00E7398A" w:rsidP="00E7398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/>
                <w:color w:val="000000"/>
                <w:sz w:val="20"/>
                <w:lang w:val="pl-PL"/>
              </w:rPr>
            </w:pPr>
            <w:r w:rsidRPr="00166D05">
              <w:rPr>
                <w:rFonts w:asciiTheme="minorHAnsi" w:hAnsiTheme="minorHAnsi"/>
                <w:color w:val="000000"/>
                <w:sz w:val="20"/>
                <w:lang w:val="pl-PL"/>
              </w:rPr>
              <w:t xml:space="preserve">numerów skróconych (radio taxi, pogotowia drogowe, informacja o lekach itp. </w:t>
            </w:r>
            <w:r w:rsidR="002E2CBF" w:rsidRPr="00166D05">
              <w:rPr>
                <w:rFonts w:asciiTheme="minorHAnsi" w:hAnsiTheme="minorHAnsi"/>
                <w:color w:val="000000"/>
                <w:sz w:val="20"/>
                <w:lang w:val="pl-PL"/>
              </w:rPr>
              <w:t>)</w:t>
            </w:r>
          </w:p>
          <w:p w:rsidR="00E7398A" w:rsidRPr="00166D05" w:rsidRDefault="00E7398A" w:rsidP="00E7398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/>
                <w:color w:val="000000"/>
                <w:sz w:val="20"/>
                <w:lang w:val="pl-PL"/>
              </w:rPr>
            </w:pPr>
            <w:r w:rsidRPr="00166D05">
              <w:rPr>
                <w:rFonts w:asciiTheme="minorHAnsi" w:hAnsiTheme="minorHAnsi"/>
                <w:color w:val="000000"/>
                <w:sz w:val="20"/>
                <w:lang w:val="pl-PL"/>
              </w:rPr>
              <w:t>usług o podwyższonej opłacie ze świadczeniem dodatkowym (zablokowane domyślnie</w:t>
            </w:r>
            <w:r w:rsidR="0025506A" w:rsidRPr="00166D05">
              <w:rPr>
                <w:rFonts w:asciiTheme="minorHAnsi" w:hAnsiTheme="minorHAnsi"/>
                <w:color w:val="000000"/>
                <w:sz w:val="20"/>
                <w:lang w:val="pl-PL"/>
              </w:rPr>
              <w:t xml:space="preserve"> na Centrali</w:t>
            </w:r>
            <w:r w:rsidRPr="00166D05">
              <w:rPr>
                <w:rFonts w:asciiTheme="minorHAnsi" w:hAnsiTheme="minorHAnsi"/>
                <w:color w:val="000000"/>
                <w:sz w:val="20"/>
                <w:lang w:val="pl-PL"/>
              </w:rPr>
              <w:t>)</w:t>
            </w:r>
          </w:p>
          <w:p w:rsidR="00E7398A" w:rsidRDefault="00E7398A" w:rsidP="00E7398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usług</w:t>
            </w:r>
            <w:proofErr w:type="spellEnd"/>
            <w:r w:rsidRPr="00E7398A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informacyjnych</w:t>
            </w:r>
            <w:proofErr w:type="spellEnd"/>
            <w:r w:rsidRPr="00E7398A">
              <w:rPr>
                <w:rFonts w:asciiTheme="minorHAnsi" w:hAnsiTheme="minorHAnsi"/>
                <w:color w:val="000000"/>
                <w:sz w:val="20"/>
              </w:rPr>
              <w:t>,</w:t>
            </w:r>
          </w:p>
          <w:p w:rsidR="00E7398A" w:rsidRPr="00E7398A" w:rsidRDefault="00E7398A" w:rsidP="00E7398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asciiTheme="minorHAnsi" w:hAnsiTheme="minorHAnsi"/>
                <w:color w:val="000000"/>
                <w:sz w:val="20"/>
              </w:rPr>
            </w:pP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sieci</w:t>
            </w:r>
            <w:proofErr w:type="spellEnd"/>
            <w:r w:rsidRPr="00E7398A">
              <w:rPr>
                <w:rFonts w:asciiTheme="minorHAnsi" w:hAnsiTheme="minorHAnsi"/>
                <w:color w:val="000000"/>
                <w:sz w:val="20"/>
              </w:rPr>
              <w:t xml:space="preserve"> </w:t>
            </w:r>
            <w:proofErr w:type="spellStart"/>
            <w:r w:rsidRPr="00E7398A">
              <w:rPr>
                <w:rFonts w:asciiTheme="minorHAnsi" w:hAnsiTheme="minorHAnsi"/>
                <w:color w:val="000000"/>
                <w:sz w:val="20"/>
              </w:rPr>
              <w:t>przywoławczej</w:t>
            </w:r>
            <w:proofErr w:type="spellEnd"/>
            <w:r w:rsidRPr="00E7398A">
              <w:rPr>
                <w:rFonts w:asciiTheme="minorHAnsi" w:hAnsiTheme="minorHAnsi"/>
                <w:color w:val="000000"/>
                <w:sz w:val="20"/>
              </w:rPr>
              <w:t>,</w:t>
            </w:r>
          </w:p>
          <w:p w:rsidR="00FC7B6C" w:rsidRPr="00E7398A" w:rsidRDefault="00E7398A" w:rsidP="00E7398A">
            <w:pPr>
              <w:spacing w:line="276" w:lineRule="auto"/>
              <w:ind w:left="102"/>
              <w:jc w:val="both"/>
              <w:rPr>
                <w:rFonts w:asciiTheme="minorHAnsi" w:hAnsiTheme="minorHAnsi"/>
                <w:color w:val="000000"/>
                <w:sz w:val="20"/>
                <w:highlight w:val="green"/>
              </w:rPr>
            </w:pPr>
            <w:r w:rsidRPr="00E7398A">
              <w:rPr>
                <w:rFonts w:asciiTheme="minorHAnsi" w:hAnsiTheme="minorHAnsi"/>
                <w:color w:val="000000"/>
                <w:sz w:val="20"/>
              </w:rPr>
              <w:t>f.</w:t>
            </w:r>
            <w:r>
              <w:rPr>
                <w:rFonts w:asciiTheme="minorHAnsi" w:hAnsiTheme="minorHAnsi"/>
                <w:color w:val="000000"/>
                <w:sz w:val="20"/>
              </w:rPr>
              <w:t xml:space="preserve">     </w:t>
            </w:r>
            <w:r w:rsidRPr="00E7398A">
              <w:rPr>
                <w:rFonts w:asciiTheme="minorHAnsi" w:hAnsiTheme="minorHAnsi"/>
                <w:color w:val="000000"/>
                <w:sz w:val="20"/>
              </w:rPr>
              <w:t>telefonii internetowej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FC7B6C" w:rsidRDefault="00E7398A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FC7B6C" w:rsidRPr="00FC790D" w:rsidRDefault="00FC7B6C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C7B6C" w:rsidRPr="00FC790D" w:rsidRDefault="00FC7B6C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26289" w:rsidRPr="00FC790D" w:rsidTr="00104E1B">
        <w:trPr>
          <w:trHeight w:hRule="exact" w:val="55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26289" w:rsidRPr="00FC790D" w:rsidRDefault="00F26289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D7CDF" w:rsidRPr="006833C8" w:rsidRDefault="00DA0B3E" w:rsidP="006833C8">
            <w:pPr>
              <w:spacing w:line="276" w:lineRule="auto"/>
              <w:ind w:left="102"/>
              <w:contextualSpacing/>
              <w:jc w:val="both"/>
              <w:rPr>
                <w:rFonts w:asciiTheme="minorHAnsi" w:hAnsiTheme="minorHAnsi" w:cstheme="minorHAnsi"/>
                <w:sz w:val="20"/>
              </w:rPr>
            </w:pPr>
            <w:r w:rsidRPr="009F612F">
              <w:rPr>
                <w:rFonts w:asciiTheme="minorHAnsi" w:hAnsiTheme="minorHAnsi"/>
                <w:color w:val="000000"/>
                <w:sz w:val="20"/>
              </w:rPr>
              <w:t>dostawa u</w:t>
            </w:r>
            <w:r w:rsidR="00C50E5A" w:rsidRPr="009F612F">
              <w:rPr>
                <w:rFonts w:asciiTheme="minorHAnsi" w:hAnsiTheme="minorHAnsi"/>
                <w:color w:val="000000"/>
                <w:sz w:val="20"/>
              </w:rPr>
              <w:t xml:space="preserve">rządzenia dostępowego wyposażonego w </w:t>
            </w:r>
            <w:r w:rsidR="00BD7CDF" w:rsidRPr="009F612F">
              <w:rPr>
                <w:rFonts w:asciiTheme="minorHAnsi" w:hAnsiTheme="minorHAnsi" w:cstheme="minorHAnsi"/>
                <w:sz w:val="20"/>
              </w:rPr>
              <w:t xml:space="preserve">styk elektryczny Ethernet 10/100/1000Mbps </w:t>
            </w:r>
          </w:p>
          <w:p w:rsidR="00F26289" w:rsidRPr="006833C8" w:rsidRDefault="00F26289" w:rsidP="006833C8">
            <w:pPr>
              <w:ind w:left="102"/>
              <w:rPr>
                <w:rFonts w:asciiTheme="minorHAnsi" w:hAnsiTheme="minorHAnsi" w:cs="Calibri"/>
                <w:sz w:val="20"/>
                <w:highlight w:val="yellow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F26289" w:rsidRDefault="00F26289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F26289" w:rsidRPr="00FC790D" w:rsidRDefault="00F26289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26289" w:rsidRPr="00FC790D" w:rsidRDefault="00F26289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C1556" w:rsidRPr="00FC790D" w:rsidTr="00FF021E">
        <w:trPr>
          <w:trHeight w:hRule="exact" w:val="69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C1556" w:rsidRPr="00FC790D" w:rsidRDefault="009C1556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Pr="006833C8" w:rsidRDefault="00CE025C" w:rsidP="00FF021E">
            <w:pPr>
              <w:ind w:left="102"/>
              <w:rPr>
                <w:rFonts w:asciiTheme="minorHAnsi" w:hAnsiTheme="minorHAnsi" w:cs="Calibri"/>
                <w:sz w:val="20"/>
              </w:rPr>
            </w:pPr>
            <w:r w:rsidRPr="00FF021E">
              <w:rPr>
                <w:rFonts w:asciiTheme="minorHAnsi" w:hAnsiTheme="minorHAnsi" w:cs="Calibri"/>
                <w:sz w:val="20"/>
              </w:rPr>
              <w:t>zestawienie</w:t>
            </w:r>
            <w:r w:rsidR="002332A3" w:rsidRPr="00FF021E">
              <w:rPr>
                <w:rFonts w:asciiTheme="minorHAnsi" w:hAnsiTheme="minorHAnsi" w:cs="Calibri"/>
                <w:sz w:val="20"/>
              </w:rPr>
              <w:t xml:space="preserve"> połączenia</w:t>
            </w:r>
            <w:r w:rsidR="006E3FE3" w:rsidRPr="00FF021E">
              <w:rPr>
                <w:rFonts w:asciiTheme="minorHAnsi" w:hAnsiTheme="minorHAnsi" w:cs="Calibri"/>
                <w:sz w:val="20"/>
              </w:rPr>
              <w:t xml:space="preserve"> </w:t>
            </w:r>
            <w:r w:rsidR="00FF021E" w:rsidRPr="00FF021E">
              <w:rPr>
                <w:rFonts w:asciiTheme="minorHAnsi" w:hAnsiTheme="minorHAnsi" w:cs="Calibri"/>
                <w:sz w:val="20"/>
              </w:rPr>
              <w:t xml:space="preserve"> do </w:t>
            </w:r>
            <w:r w:rsidR="00FF021E">
              <w:rPr>
                <w:rFonts w:asciiTheme="minorHAnsi" w:hAnsiTheme="minorHAnsi" w:cs="Calibri"/>
                <w:sz w:val="20"/>
              </w:rPr>
              <w:t>Cent</w:t>
            </w:r>
            <w:r w:rsidR="00FF021E" w:rsidRPr="00FF021E">
              <w:rPr>
                <w:rFonts w:asciiTheme="minorHAnsi" w:hAnsiTheme="minorHAnsi" w:cs="Calibri"/>
                <w:sz w:val="20"/>
              </w:rPr>
              <w:t>rali telefonicznej</w:t>
            </w:r>
            <w:r w:rsidR="002332A3" w:rsidRPr="00FF021E">
              <w:rPr>
                <w:rFonts w:asciiTheme="minorHAnsi" w:hAnsiTheme="minorHAnsi" w:cs="Calibri"/>
                <w:sz w:val="20"/>
              </w:rPr>
              <w:t xml:space="preserve"> min. </w:t>
            </w:r>
            <w:r w:rsidR="00134E26" w:rsidRPr="00FF021E">
              <w:rPr>
                <w:rFonts w:asciiTheme="minorHAnsi" w:hAnsiTheme="minorHAnsi" w:cs="Calibri"/>
                <w:sz w:val="20"/>
              </w:rPr>
              <w:t>320</w:t>
            </w:r>
            <w:r w:rsidRPr="00FF021E">
              <w:rPr>
                <w:rFonts w:asciiTheme="minorHAnsi" w:hAnsiTheme="minorHAnsi" w:cs="Calibri"/>
                <w:sz w:val="20"/>
              </w:rPr>
              <w:t xml:space="preserve"> linii</w:t>
            </w:r>
            <w:r w:rsidR="00FF021E" w:rsidRPr="00FF021E">
              <w:rPr>
                <w:rFonts w:asciiTheme="minorHAnsi" w:hAnsiTheme="minorHAnsi" w:cs="Calibri"/>
                <w:sz w:val="20"/>
              </w:rPr>
              <w:t xml:space="preserve"> wewnętrznych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Default="009C1556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C1556" w:rsidRPr="00FC790D" w:rsidRDefault="009C1556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C1556" w:rsidRPr="00FC790D" w:rsidRDefault="009C1556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C1556" w:rsidRPr="00FC790D" w:rsidTr="00E53A7D">
        <w:trPr>
          <w:trHeight w:hRule="exact" w:val="64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C1556" w:rsidRPr="00FC790D" w:rsidRDefault="009C1556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Pr="006833C8" w:rsidRDefault="0068030D" w:rsidP="0068030D">
            <w:pPr>
              <w:ind w:left="102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 xml:space="preserve">Migracja  </w:t>
            </w:r>
            <w:r w:rsidR="00E53A7D">
              <w:rPr>
                <w:rFonts w:asciiTheme="minorHAnsi" w:hAnsiTheme="minorHAnsi" w:cs="Calibri"/>
                <w:sz w:val="20"/>
              </w:rPr>
              <w:t xml:space="preserve">całego zakresu </w:t>
            </w:r>
            <w:r>
              <w:rPr>
                <w:rFonts w:asciiTheme="minorHAnsi" w:hAnsiTheme="minorHAnsi" w:cs="Calibri"/>
                <w:sz w:val="20"/>
              </w:rPr>
              <w:t xml:space="preserve">numeracji  telefonów </w:t>
            </w:r>
            <w:r w:rsidR="00EA0D1A">
              <w:rPr>
                <w:rFonts w:asciiTheme="minorHAnsi" w:hAnsiTheme="minorHAnsi" w:cs="Calibri"/>
                <w:sz w:val="20"/>
              </w:rPr>
              <w:t xml:space="preserve">Zamawiającego </w:t>
            </w:r>
            <w:r>
              <w:rPr>
                <w:rFonts w:asciiTheme="minorHAnsi" w:hAnsiTheme="minorHAnsi" w:cs="Calibri"/>
                <w:sz w:val="20"/>
              </w:rPr>
              <w:t>od dotychczasowego</w:t>
            </w:r>
            <w:r w:rsidR="002332A3" w:rsidRPr="006833C8">
              <w:rPr>
                <w:rFonts w:asciiTheme="minorHAnsi" w:hAnsiTheme="minorHAnsi" w:cs="Calibri"/>
                <w:sz w:val="20"/>
              </w:rPr>
              <w:t xml:space="preserve"> operatora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Pr="00FC790D" w:rsidRDefault="009C1556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C1556" w:rsidRPr="00FC790D" w:rsidRDefault="009C1556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C1556" w:rsidRPr="00FC790D" w:rsidRDefault="009C1556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E22056" w:rsidRPr="00FC790D" w:rsidTr="00104E1B">
        <w:trPr>
          <w:trHeight w:hRule="exact" w:val="106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E22056" w:rsidRPr="00FC790D" w:rsidRDefault="00E22056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22056" w:rsidRDefault="00A210BB" w:rsidP="0068030D">
            <w:pPr>
              <w:ind w:left="102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Możliwość migracji w kierunku telefonii IP w sieci wewnętrznej Zamawiającego (bez wykorzystania wysoko kompresowanych kodeków głosowych; zalecane kodeki G711)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E22056" w:rsidRDefault="00E22056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E22056" w:rsidRPr="00FC790D" w:rsidRDefault="00E22056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E22056" w:rsidRPr="00FC790D" w:rsidRDefault="00E22056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06563" w:rsidRPr="00FC790D" w:rsidTr="004539A2">
        <w:trPr>
          <w:trHeight w:hRule="exact" w:val="422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06563" w:rsidRPr="00FC790D" w:rsidRDefault="00306563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06563" w:rsidRDefault="00306563" w:rsidP="0068030D">
            <w:pPr>
              <w:ind w:left="102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Możliwość blokowania wybranych numerów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06563" w:rsidRDefault="00306563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06563" w:rsidRPr="00FC790D" w:rsidRDefault="00306563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06563" w:rsidRPr="00FC790D" w:rsidRDefault="00306563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C1556" w:rsidRPr="00FC790D" w:rsidTr="002332A3">
        <w:trPr>
          <w:trHeight w:hRule="exact" w:val="424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C1556" w:rsidRPr="00FC790D" w:rsidRDefault="009C1556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Pr="006833C8" w:rsidRDefault="002332A3" w:rsidP="006833C8">
            <w:pPr>
              <w:ind w:left="102"/>
              <w:rPr>
                <w:rFonts w:asciiTheme="minorHAnsi" w:hAnsiTheme="minorHAnsi" w:cs="Calibri"/>
                <w:sz w:val="20"/>
              </w:rPr>
            </w:pPr>
            <w:r w:rsidRPr="006833C8">
              <w:rPr>
                <w:rFonts w:asciiTheme="minorHAnsi" w:hAnsiTheme="minorHAnsi" w:cs="Calibri"/>
                <w:sz w:val="20"/>
              </w:rPr>
              <w:t>Montaż</w:t>
            </w:r>
            <w:r w:rsidR="008111BA">
              <w:rPr>
                <w:rFonts w:asciiTheme="minorHAnsi" w:hAnsiTheme="minorHAnsi" w:cs="Calibri"/>
                <w:sz w:val="20"/>
              </w:rPr>
              <w:t xml:space="preserve">, uruchomienie </w:t>
            </w:r>
            <w:r w:rsidRPr="006833C8">
              <w:rPr>
                <w:rFonts w:asciiTheme="minorHAnsi" w:hAnsiTheme="minorHAnsi" w:cs="Calibri"/>
                <w:sz w:val="20"/>
              </w:rPr>
              <w:t xml:space="preserve"> i konfiguracja urządzeń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Pr="00FC790D" w:rsidRDefault="009C1556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 w:rsidRPr="00FC790D"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C1556" w:rsidRPr="00FC790D" w:rsidRDefault="009C1556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C1556" w:rsidRPr="00FC790D" w:rsidRDefault="009C1556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395FBA" w:rsidRPr="00FC790D" w:rsidTr="009F30D3">
        <w:trPr>
          <w:trHeight w:hRule="exact" w:val="57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395FBA" w:rsidRPr="00FC790D" w:rsidRDefault="00395FBA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95FBA" w:rsidRPr="003B671F" w:rsidRDefault="00647172" w:rsidP="002A5387">
            <w:pPr>
              <w:jc w:val="both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F05C9D">
              <w:rPr>
                <w:rFonts w:cstheme="minorHAnsi"/>
                <w:sz w:val="18"/>
                <w:szCs w:val="18"/>
              </w:rPr>
              <w:t>rzygotowanie i przekazanie Zamawiającemu dokumentacji powykonawczej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95FBA" w:rsidRPr="00FC790D" w:rsidRDefault="00395FBA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395FBA" w:rsidRPr="00FC790D" w:rsidRDefault="00395FBA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395FBA" w:rsidRPr="00FC790D" w:rsidRDefault="00395FBA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B4B59" w:rsidRPr="00FC790D" w:rsidTr="00DC7B78">
        <w:trPr>
          <w:trHeight w:hRule="exact" w:val="496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B4B59" w:rsidRPr="00FC790D" w:rsidRDefault="00BB4B59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B4B59" w:rsidRPr="00BB4B59" w:rsidRDefault="00BB4B59" w:rsidP="00BB4B59">
            <w:pPr>
              <w:jc w:val="both"/>
              <w:outlineLvl w:val="0"/>
              <w:rPr>
                <w:rFonts w:cstheme="minorHAnsi"/>
                <w:sz w:val="18"/>
                <w:szCs w:val="18"/>
              </w:rPr>
            </w:pPr>
            <w:r w:rsidRPr="00BB4B59">
              <w:rPr>
                <w:rFonts w:cstheme="minorHAnsi"/>
                <w:sz w:val="18"/>
                <w:szCs w:val="18"/>
              </w:rPr>
              <w:t xml:space="preserve">wykonawca jest </w:t>
            </w:r>
            <w:r>
              <w:rPr>
                <w:rFonts w:cstheme="minorHAnsi"/>
                <w:sz w:val="18"/>
                <w:szCs w:val="18"/>
              </w:rPr>
              <w:t>zobowiązany do przeprowadzenia</w:t>
            </w:r>
          </w:p>
          <w:p w:rsidR="00BB4B59" w:rsidRDefault="00504156" w:rsidP="00BA1B88">
            <w:pPr>
              <w:jc w:val="both"/>
              <w:outlineLvl w:val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inwentaryzacji przełą</w:t>
            </w:r>
            <w:r w:rsidR="00BB4B59" w:rsidRPr="00BB4B59">
              <w:rPr>
                <w:rFonts w:cstheme="minorHAnsi"/>
                <w:sz w:val="18"/>
                <w:szCs w:val="18"/>
              </w:rPr>
              <w:t>czn</w:t>
            </w:r>
            <w:r w:rsidR="00BB4B59">
              <w:rPr>
                <w:rFonts w:cstheme="minorHAnsi"/>
                <w:sz w:val="18"/>
                <w:szCs w:val="18"/>
              </w:rPr>
              <w:t xml:space="preserve">icy MDFL </w:t>
            </w:r>
            <w:r w:rsidR="00BA1B88">
              <w:rPr>
                <w:rFonts w:cstheme="minorHAnsi"/>
                <w:sz w:val="18"/>
                <w:szCs w:val="18"/>
              </w:rPr>
              <w:t>Zamawia</w:t>
            </w:r>
            <w:r>
              <w:rPr>
                <w:rFonts w:cstheme="minorHAnsi"/>
                <w:sz w:val="18"/>
                <w:szCs w:val="18"/>
              </w:rPr>
              <w:t xml:space="preserve">jącego </w:t>
            </w:r>
            <w:r w:rsidR="00BB4B59">
              <w:rPr>
                <w:rFonts w:cstheme="minorHAnsi"/>
                <w:sz w:val="18"/>
                <w:szCs w:val="18"/>
              </w:rPr>
              <w:t xml:space="preserve">na potrzeby wdrożenia </w:t>
            </w:r>
            <w:r w:rsidR="00BA1B88">
              <w:rPr>
                <w:rFonts w:cstheme="minorHAnsi"/>
                <w:sz w:val="18"/>
                <w:szCs w:val="18"/>
              </w:rPr>
              <w:t>centrali IP PBX</w:t>
            </w:r>
            <w:r w:rsidR="00C20BAD">
              <w:rPr>
                <w:rFonts w:cstheme="minorHAnsi"/>
                <w:sz w:val="18"/>
                <w:szCs w:val="18"/>
              </w:rPr>
              <w:t>, w tym:</w:t>
            </w:r>
          </w:p>
          <w:p w:rsidR="00C20BAD" w:rsidRPr="00166D05" w:rsidRDefault="00C20BAD" w:rsidP="00997122">
            <w:pPr>
              <w:pStyle w:val="Akapitzlist"/>
              <w:numPr>
                <w:ilvl w:val="0"/>
                <w:numId w:val="15"/>
              </w:numPr>
              <w:jc w:val="both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dostarczenia i zamontowania w aktualnej lokalizacji przełącznicy MDFL Zamawiającego </w:t>
            </w:r>
            <w:r w:rsidR="00997122"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nowej </w:t>
            </w:r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>głowicy na min. 500 linii wewnętrznych</w:t>
            </w:r>
          </w:p>
          <w:p w:rsidR="00997122" w:rsidRPr="00166D05" w:rsidRDefault="008E110D" w:rsidP="00997122">
            <w:pPr>
              <w:pStyle w:val="Akapitzlist"/>
              <w:numPr>
                <w:ilvl w:val="0"/>
                <w:numId w:val="15"/>
              </w:numPr>
              <w:jc w:val="both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>ustalenia</w:t>
            </w:r>
            <w:r w:rsidR="00997122"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="00FA1A15"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fizycznej </w:t>
            </w:r>
            <w:r w:rsidR="00997122"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lokalizacji </w:t>
            </w:r>
            <w:r w:rsidR="00BF66FF"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wszystkich </w:t>
            </w:r>
            <w:r w:rsidR="00997122" w:rsidRPr="00166D05">
              <w:rPr>
                <w:rFonts w:ascii="Arial" w:hAnsi="Arial" w:cs="Arial"/>
                <w:sz w:val="18"/>
                <w:szCs w:val="18"/>
                <w:lang w:val="pl-PL"/>
              </w:rPr>
              <w:t>numerów</w:t>
            </w:r>
            <w:r w:rsidR="00040A9E"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 / linii</w:t>
            </w:r>
            <w:r w:rsidR="00997122"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 wewnętrznych Zamawiającego </w:t>
            </w:r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na </w:t>
            </w:r>
            <w:proofErr w:type="spellStart"/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>przełacznicy</w:t>
            </w:r>
            <w:proofErr w:type="spellEnd"/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 MDFL</w:t>
            </w:r>
          </w:p>
          <w:p w:rsidR="00FF011C" w:rsidRPr="00166D05" w:rsidRDefault="00FF011C" w:rsidP="00997122">
            <w:pPr>
              <w:pStyle w:val="Akapitzlist"/>
              <w:numPr>
                <w:ilvl w:val="0"/>
                <w:numId w:val="15"/>
              </w:numPr>
              <w:jc w:val="both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>wykonania połączeń dla poszczególnych zinwentaryzowanych linii wewnętrznych Zamawiającego na dostarczoną głowicę</w:t>
            </w:r>
          </w:p>
          <w:p w:rsidR="002425C6" w:rsidRPr="00166D05" w:rsidRDefault="000C1061" w:rsidP="00997122">
            <w:pPr>
              <w:pStyle w:val="Akapitzlist"/>
              <w:numPr>
                <w:ilvl w:val="0"/>
                <w:numId w:val="15"/>
              </w:numPr>
              <w:jc w:val="both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>czytelne oznakowanie/opisanie zinwentaryzowanych linii wewnętrznych Zamawiającego na dostarczonej głowicy</w:t>
            </w:r>
          </w:p>
          <w:p w:rsidR="000C1061" w:rsidRPr="00166D05" w:rsidRDefault="000C1061" w:rsidP="00997122">
            <w:pPr>
              <w:pStyle w:val="Akapitzlist"/>
              <w:numPr>
                <w:ilvl w:val="0"/>
                <w:numId w:val="15"/>
              </w:numPr>
              <w:jc w:val="both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>uwzględnienie opisu zinwentaryzowanych linii wewnętrznych Zamawiającego w ramach przygotowanej I przekazanej Zamawiającemu dokumentacji powykonawczej</w:t>
            </w:r>
          </w:p>
          <w:p w:rsidR="000C1061" w:rsidRPr="00166D05" w:rsidRDefault="000C1061" w:rsidP="00997122">
            <w:pPr>
              <w:pStyle w:val="Akapitzlist"/>
              <w:numPr>
                <w:ilvl w:val="0"/>
                <w:numId w:val="15"/>
              </w:numPr>
              <w:jc w:val="both"/>
              <w:outlineLvl w:val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Inwentaryzacja </w:t>
            </w:r>
            <w:proofErr w:type="spellStart"/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>przełacznicy</w:t>
            </w:r>
            <w:proofErr w:type="spellEnd"/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 MDFL Zamawiającego musi </w:t>
            </w:r>
            <w:r w:rsidR="00BF66FF" w:rsidRPr="00166D05">
              <w:rPr>
                <w:rFonts w:ascii="Arial" w:hAnsi="Arial" w:cs="Arial"/>
                <w:sz w:val="18"/>
                <w:szCs w:val="18"/>
                <w:lang w:val="pl-PL"/>
              </w:rPr>
              <w:t>być w pełni zakończona</w:t>
            </w:r>
            <w:r w:rsidRPr="00166D05">
              <w:rPr>
                <w:rFonts w:ascii="Arial" w:hAnsi="Arial" w:cs="Arial"/>
                <w:sz w:val="18"/>
                <w:szCs w:val="18"/>
                <w:lang w:val="pl-PL"/>
              </w:rPr>
              <w:t xml:space="preserve"> do ustalonego dnia, w którym nastąpi przeniesienie numerów telefonicznych od obecnego Operatora</w:t>
            </w:r>
          </w:p>
          <w:p w:rsidR="00997122" w:rsidRDefault="00997122" w:rsidP="00BA1B88">
            <w:pPr>
              <w:jc w:val="both"/>
              <w:outlineLv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B4B59" w:rsidRDefault="00302C0C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B4B59" w:rsidRPr="00FC790D" w:rsidRDefault="00BB4B59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B4B59" w:rsidRPr="00FC790D" w:rsidRDefault="00BB4B59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2E272B" w:rsidRPr="00FC790D" w:rsidTr="002E1535">
        <w:trPr>
          <w:trHeight w:hRule="exact" w:val="140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2E272B" w:rsidRPr="00FC790D" w:rsidRDefault="002E272B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E272B" w:rsidRPr="00515048" w:rsidRDefault="00285E58" w:rsidP="000C1061">
            <w:pPr>
              <w:jc w:val="both"/>
              <w:outlineLvl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Wykonawca ma obowiązek zapewnić utrzymanie </w:t>
            </w:r>
            <w:r w:rsidR="00104E1B">
              <w:rPr>
                <w:rFonts w:cs="Arial"/>
                <w:sz w:val="18"/>
                <w:szCs w:val="18"/>
              </w:rPr>
              <w:t xml:space="preserve">wszystkich </w:t>
            </w:r>
            <w:r>
              <w:rPr>
                <w:rFonts w:cs="Arial"/>
                <w:sz w:val="18"/>
                <w:szCs w:val="18"/>
              </w:rPr>
              <w:t xml:space="preserve">aktualnych </w:t>
            </w:r>
            <w:r w:rsidR="00BB37DA">
              <w:rPr>
                <w:rFonts w:cs="Arial"/>
                <w:sz w:val="18"/>
                <w:szCs w:val="18"/>
              </w:rPr>
              <w:t xml:space="preserve">wewnętrznych </w:t>
            </w:r>
            <w:r>
              <w:rPr>
                <w:rFonts w:cs="Arial"/>
                <w:sz w:val="18"/>
                <w:szCs w:val="18"/>
              </w:rPr>
              <w:t>numerów telefonicznych dla poszczególnych linii wewnętrznych</w:t>
            </w:r>
            <w:r w:rsidR="00BB37DA">
              <w:rPr>
                <w:rFonts w:cs="Arial"/>
                <w:sz w:val="18"/>
                <w:szCs w:val="18"/>
              </w:rPr>
              <w:t xml:space="preserve"> w budynku Szpitala. Oznacza to że wymagane jest aby np. na poszczególnych Oddziałach Szpitala, na Izbie Przyjęć, itd.. </w:t>
            </w:r>
            <w:r w:rsidR="006A3483">
              <w:rPr>
                <w:rFonts w:cs="Arial"/>
                <w:sz w:val="18"/>
                <w:szCs w:val="18"/>
              </w:rPr>
              <w:t>były zachowane aktualnie obowiązu</w:t>
            </w:r>
            <w:r w:rsidR="00F46354">
              <w:rPr>
                <w:rFonts w:cs="Arial"/>
                <w:sz w:val="18"/>
                <w:szCs w:val="18"/>
              </w:rPr>
              <w:t>jące telefoniczne numery wewnętrzne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2E272B" w:rsidRDefault="002E272B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2E272B" w:rsidRPr="00FC790D" w:rsidRDefault="002E272B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2E272B" w:rsidRPr="00FC790D" w:rsidRDefault="002E272B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C26D5" w:rsidRPr="00FC790D" w:rsidTr="00DC7B78">
        <w:trPr>
          <w:trHeight w:hRule="exact" w:val="99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C26D5" w:rsidRPr="00FC790D" w:rsidRDefault="009C26D5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26D5" w:rsidRPr="001A7FF4" w:rsidRDefault="00AE0BED" w:rsidP="000C1061">
            <w:pPr>
              <w:jc w:val="both"/>
              <w:outlineLvl w:val="0"/>
              <w:rPr>
                <w:rFonts w:cstheme="minorHAnsi"/>
                <w:sz w:val="18"/>
                <w:szCs w:val="18"/>
              </w:rPr>
            </w:pPr>
            <w:r w:rsidRPr="00515048">
              <w:rPr>
                <w:rFonts w:cs="Arial"/>
                <w:sz w:val="18"/>
                <w:szCs w:val="18"/>
              </w:rPr>
              <w:t>P</w:t>
            </w:r>
            <w:r w:rsidR="002D447A" w:rsidRPr="00515048">
              <w:rPr>
                <w:rFonts w:cs="Arial"/>
                <w:sz w:val="18"/>
                <w:szCs w:val="18"/>
              </w:rPr>
              <w:t xml:space="preserve">rzeniesienie </w:t>
            </w:r>
            <w:r w:rsidR="00DF275D" w:rsidRPr="00515048">
              <w:rPr>
                <w:rFonts w:cs="Arial"/>
                <w:sz w:val="18"/>
                <w:szCs w:val="18"/>
              </w:rPr>
              <w:t xml:space="preserve">przełącznicy telefonicznej </w:t>
            </w:r>
            <w:r w:rsidR="002D447A" w:rsidRPr="00515048">
              <w:rPr>
                <w:rFonts w:cs="Arial"/>
                <w:sz w:val="18"/>
                <w:szCs w:val="18"/>
              </w:rPr>
              <w:t>MDF</w:t>
            </w:r>
            <w:r w:rsidR="00803FDF" w:rsidRPr="00515048">
              <w:rPr>
                <w:rFonts w:cs="Arial"/>
                <w:sz w:val="18"/>
                <w:szCs w:val="18"/>
              </w:rPr>
              <w:t>L</w:t>
            </w:r>
            <w:r w:rsidR="00E2552E" w:rsidRPr="00515048">
              <w:rPr>
                <w:rFonts w:cs="Arial"/>
                <w:sz w:val="18"/>
                <w:szCs w:val="18"/>
              </w:rPr>
              <w:t xml:space="preserve"> Zamawiającego</w:t>
            </w:r>
            <w:r w:rsidR="002202F4" w:rsidRPr="00515048">
              <w:rPr>
                <w:rFonts w:cs="Arial"/>
                <w:sz w:val="18"/>
                <w:szCs w:val="18"/>
              </w:rPr>
              <w:t xml:space="preserve"> do </w:t>
            </w:r>
            <w:r w:rsidR="0028717A" w:rsidRPr="00515048">
              <w:rPr>
                <w:rFonts w:cs="Arial"/>
                <w:sz w:val="18"/>
                <w:szCs w:val="18"/>
              </w:rPr>
              <w:t>dostarczanej</w:t>
            </w:r>
            <w:r w:rsidR="002202F4" w:rsidRPr="00515048">
              <w:rPr>
                <w:rFonts w:cs="Arial"/>
                <w:sz w:val="18"/>
                <w:szCs w:val="18"/>
              </w:rPr>
              <w:t xml:space="preserve"> szafy RACK</w:t>
            </w:r>
            <w:r w:rsidR="007C1F4A" w:rsidRPr="00515048">
              <w:rPr>
                <w:rFonts w:cs="Arial"/>
                <w:sz w:val="18"/>
                <w:szCs w:val="18"/>
              </w:rPr>
              <w:t xml:space="preserve"> wraz z rozszyci</w:t>
            </w:r>
            <w:r w:rsidR="000C1061" w:rsidRPr="00515048">
              <w:rPr>
                <w:rFonts w:cs="Arial"/>
                <w:sz w:val="18"/>
                <w:szCs w:val="18"/>
              </w:rPr>
              <w:t xml:space="preserve">em na dedykowanych </w:t>
            </w:r>
            <w:proofErr w:type="spellStart"/>
            <w:r w:rsidR="007C1F4A" w:rsidRPr="00515048">
              <w:rPr>
                <w:rFonts w:cs="Arial"/>
                <w:sz w:val="18"/>
                <w:szCs w:val="18"/>
              </w:rPr>
              <w:t>patchpanelach</w:t>
            </w:r>
            <w:proofErr w:type="spellEnd"/>
            <w:r w:rsidR="007C1F4A" w:rsidRPr="00515048">
              <w:rPr>
                <w:rFonts w:cs="Arial"/>
                <w:sz w:val="18"/>
                <w:szCs w:val="18"/>
              </w:rPr>
              <w:t>,</w:t>
            </w:r>
            <w:r w:rsidR="002A5387" w:rsidRPr="00515048">
              <w:rPr>
                <w:rFonts w:cs="Arial"/>
                <w:sz w:val="18"/>
                <w:szCs w:val="18"/>
              </w:rPr>
              <w:t xml:space="preserve"> </w:t>
            </w:r>
            <w:r w:rsidR="007C1F4A" w:rsidRPr="00515048">
              <w:rPr>
                <w:rFonts w:cs="Arial"/>
                <w:sz w:val="18"/>
                <w:szCs w:val="18"/>
              </w:rPr>
              <w:t xml:space="preserve">do lokalizacji </w:t>
            </w:r>
            <w:r w:rsidR="002A5387" w:rsidRPr="00515048">
              <w:rPr>
                <w:rFonts w:cs="Arial"/>
                <w:sz w:val="18"/>
                <w:szCs w:val="18"/>
              </w:rPr>
              <w:t xml:space="preserve">serwerowni </w:t>
            </w:r>
            <w:r w:rsidR="007C1F4A" w:rsidRPr="00515048">
              <w:rPr>
                <w:rFonts w:cs="Arial"/>
                <w:sz w:val="18"/>
                <w:szCs w:val="18"/>
              </w:rPr>
              <w:t xml:space="preserve">Szpitala </w:t>
            </w:r>
            <w:r w:rsidR="009F30D3" w:rsidRPr="00515048">
              <w:rPr>
                <w:rFonts w:cs="Arial"/>
                <w:sz w:val="18"/>
                <w:szCs w:val="18"/>
              </w:rPr>
              <w:t xml:space="preserve">oraz </w:t>
            </w:r>
            <w:r w:rsidR="002A5387" w:rsidRPr="00515048">
              <w:rPr>
                <w:rFonts w:cs="Arial"/>
                <w:sz w:val="18"/>
                <w:szCs w:val="18"/>
              </w:rPr>
              <w:t xml:space="preserve"> budowa uziemienia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26D5" w:rsidRDefault="009C26D5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C26D5" w:rsidRPr="00FC790D" w:rsidRDefault="009C26D5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C26D5" w:rsidRPr="00FC790D" w:rsidRDefault="009C26D5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F05C9D" w:rsidRPr="00FC790D" w:rsidTr="00F84A82">
        <w:trPr>
          <w:trHeight w:hRule="exact" w:val="50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F05C9D" w:rsidRPr="00FC790D" w:rsidRDefault="00F05C9D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F05C9D" w:rsidRPr="001F63E9" w:rsidRDefault="001F63E9" w:rsidP="001F63E9">
            <w:pPr>
              <w:jc w:val="both"/>
              <w:outlineLvl w:val="0"/>
              <w:rPr>
                <w:rFonts w:cstheme="minorHAnsi"/>
                <w:sz w:val="18"/>
                <w:szCs w:val="18"/>
              </w:rPr>
            </w:pPr>
            <w:r w:rsidRPr="001A7FF4">
              <w:rPr>
                <w:rFonts w:cstheme="minorHAnsi"/>
                <w:sz w:val="18"/>
                <w:szCs w:val="18"/>
              </w:rPr>
              <w:t>przeszkolenie stanowiskowe d</w:t>
            </w:r>
            <w:r>
              <w:rPr>
                <w:rFonts w:cstheme="minorHAnsi"/>
                <w:sz w:val="18"/>
                <w:szCs w:val="18"/>
              </w:rPr>
              <w:t xml:space="preserve">la min. </w:t>
            </w:r>
            <w:r w:rsidR="00EA6FD1">
              <w:rPr>
                <w:rFonts w:cstheme="minorHAnsi"/>
                <w:sz w:val="18"/>
                <w:szCs w:val="18"/>
              </w:rPr>
              <w:t>2</w:t>
            </w:r>
            <w:r w:rsidRPr="001A7FF4">
              <w:rPr>
                <w:rFonts w:cstheme="minorHAnsi"/>
                <w:sz w:val="18"/>
                <w:szCs w:val="18"/>
              </w:rPr>
              <w:t xml:space="preserve"> </w:t>
            </w:r>
            <w:r w:rsidR="0056519D">
              <w:rPr>
                <w:rFonts w:cstheme="minorHAnsi"/>
                <w:sz w:val="18"/>
                <w:szCs w:val="18"/>
              </w:rPr>
              <w:t xml:space="preserve">administratorów i min. 2 </w:t>
            </w:r>
            <w:r w:rsidRPr="001A7FF4">
              <w:rPr>
                <w:rFonts w:cstheme="minorHAnsi"/>
                <w:sz w:val="18"/>
                <w:szCs w:val="18"/>
              </w:rPr>
              <w:t>użytkowników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F05C9D" w:rsidRDefault="00F05C9D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F05C9D" w:rsidRPr="00FC790D" w:rsidRDefault="00F05C9D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F05C9D" w:rsidRPr="00FC790D" w:rsidRDefault="00F05C9D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C1556" w:rsidRPr="00FC790D" w:rsidTr="00DC7B78">
        <w:trPr>
          <w:trHeight w:hRule="exact" w:val="25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C1556" w:rsidRPr="00FC790D" w:rsidRDefault="009C1556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815344" w:rsidRPr="0056601C" w:rsidRDefault="00290805" w:rsidP="00AC4795">
            <w:pPr>
              <w:spacing w:line="276" w:lineRule="auto"/>
              <w:ind w:left="102"/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56601C">
              <w:rPr>
                <w:rFonts w:cs="Arial"/>
                <w:sz w:val="18"/>
                <w:szCs w:val="18"/>
              </w:rPr>
              <w:t>pula min. 8</w:t>
            </w:r>
            <w:r w:rsidR="00815344" w:rsidRPr="0056601C">
              <w:rPr>
                <w:rFonts w:cs="Arial"/>
                <w:sz w:val="18"/>
                <w:szCs w:val="18"/>
              </w:rPr>
              <w:t xml:space="preserve"> publicznych adresów IP dla łącza symetrycznego</w:t>
            </w:r>
          </w:p>
          <w:p w:rsidR="009C1556" w:rsidRPr="0056601C" w:rsidRDefault="009C1556" w:rsidP="004F2C56">
            <w:pPr>
              <w:pStyle w:val="Tabela1"/>
              <w:ind w:right="5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C1556" w:rsidRDefault="009C1556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C1556" w:rsidRPr="00FC790D" w:rsidRDefault="009C1556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C1556" w:rsidRPr="00FC790D" w:rsidRDefault="009C1556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039F0" w:rsidRPr="00FC790D" w:rsidTr="00B039F0">
        <w:trPr>
          <w:trHeight w:hRule="exact" w:val="51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039F0" w:rsidRPr="00FC790D" w:rsidRDefault="00B039F0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039F0" w:rsidRPr="0056601C" w:rsidRDefault="00B039F0" w:rsidP="003B7F17">
            <w:pPr>
              <w:spacing w:line="276" w:lineRule="auto"/>
              <w:ind w:left="102"/>
              <w:contextualSpacing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Możliwość zgłaszania awarii na podany przez W</w:t>
            </w:r>
            <w:r w:rsidR="007C0636">
              <w:rPr>
                <w:rFonts w:cs="Arial"/>
                <w:sz w:val="18"/>
                <w:szCs w:val="18"/>
              </w:rPr>
              <w:t>ykonawcę numer telefonu serwisu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039F0" w:rsidRDefault="00B039F0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039F0" w:rsidRPr="00FC790D" w:rsidRDefault="00B039F0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039F0" w:rsidRPr="00FC790D" w:rsidRDefault="00B039F0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B21C3B" w:rsidRPr="00FC790D" w:rsidTr="003B7F17">
        <w:trPr>
          <w:trHeight w:hRule="exact" w:val="558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B21C3B" w:rsidRPr="00FC790D" w:rsidRDefault="00B21C3B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3B7F17" w:rsidRPr="0056601C" w:rsidRDefault="003B7F17" w:rsidP="003B7F17">
            <w:pPr>
              <w:spacing w:line="276" w:lineRule="auto"/>
              <w:ind w:left="102"/>
              <w:contextualSpacing/>
              <w:jc w:val="both"/>
              <w:rPr>
                <w:rFonts w:cs="Arial"/>
                <w:b/>
                <w:sz w:val="18"/>
                <w:szCs w:val="18"/>
              </w:rPr>
            </w:pPr>
            <w:r w:rsidRPr="0056601C">
              <w:rPr>
                <w:rFonts w:cs="Arial"/>
                <w:sz w:val="18"/>
                <w:szCs w:val="18"/>
              </w:rPr>
              <w:t xml:space="preserve">czas usunięcia awarii - max. </w:t>
            </w:r>
            <w:r w:rsidR="006C39F4" w:rsidRPr="0056601C">
              <w:rPr>
                <w:rFonts w:cs="Arial"/>
                <w:sz w:val="18"/>
                <w:szCs w:val="18"/>
              </w:rPr>
              <w:t>4</w:t>
            </w:r>
            <w:r w:rsidR="00413910" w:rsidRPr="0056601C">
              <w:rPr>
                <w:rFonts w:cs="Arial"/>
                <w:sz w:val="18"/>
                <w:szCs w:val="18"/>
              </w:rPr>
              <w:t xml:space="preserve"> godzin</w:t>
            </w:r>
            <w:r w:rsidR="00C50E5A" w:rsidRPr="0056601C">
              <w:rPr>
                <w:rFonts w:cs="Arial"/>
                <w:sz w:val="18"/>
                <w:szCs w:val="18"/>
              </w:rPr>
              <w:t xml:space="preserve"> </w:t>
            </w:r>
            <w:r w:rsidR="0077235B" w:rsidRPr="0056601C">
              <w:rPr>
                <w:rFonts w:cs="Arial"/>
                <w:sz w:val="18"/>
                <w:szCs w:val="18"/>
              </w:rPr>
              <w:t xml:space="preserve">roboczych </w:t>
            </w:r>
            <w:r w:rsidR="00C50E5A" w:rsidRPr="0056601C">
              <w:rPr>
                <w:rFonts w:cs="Arial"/>
                <w:sz w:val="18"/>
                <w:szCs w:val="18"/>
              </w:rPr>
              <w:t xml:space="preserve">od momentu </w:t>
            </w:r>
            <w:r w:rsidRPr="0056601C">
              <w:rPr>
                <w:rFonts w:cs="Arial"/>
                <w:sz w:val="18"/>
                <w:szCs w:val="18"/>
              </w:rPr>
              <w:t>zgłoszenia.</w:t>
            </w:r>
            <w:r w:rsidRPr="0056601C"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:rsidR="00B21C3B" w:rsidRPr="0056601C" w:rsidRDefault="00B21C3B" w:rsidP="00B21C3B">
            <w:pPr>
              <w:spacing w:line="276" w:lineRule="auto"/>
              <w:ind w:left="102"/>
              <w:contextualSpacing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B21C3B" w:rsidRDefault="00B21C3B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B21C3B" w:rsidRPr="00FC790D" w:rsidRDefault="00B21C3B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B21C3B" w:rsidRPr="00FC790D" w:rsidRDefault="00B21C3B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859C7" w:rsidRPr="00FC790D" w:rsidTr="0056601C">
        <w:trPr>
          <w:trHeight w:hRule="exact" w:val="61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859C7" w:rsidRPr="00FC790D" w:rsidRDefault="009859C7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859C7" w:rsidRPr="0056601C" w:rsidRDefault="00F009EC" w:rsidP="007C0636">
            <w:pPr>
              <w:spacing w:line="276" w:lineRule="auto"/>
              <w:ind w:left="102"/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56601C">
              <w:rPr>
                <w:rFonts w:cs="Arial"/>
                <w:sz w:val="18"/>
                <w:szCs w:val="18"/>
              </w:rPr>
              <w:t>Miesięczna stała opłata a</w:t>
            </w:r>
            <w:r w:rsidR="009859C7" w:rsidRPr="0056601C">
              <w:rPr>
                <w:rFonts w:cs="Arial"/>
                <w:sz w:val="18"/>
                <w:szCs w:val="18"/>
              </w:rPr>
              <w:t>bonament</w:t>
            </w:r>
            <w:r w:rsidRPr="0056601C">
              <w:rPr>
                <w:rFonts w:cs="Arial"/>
                <w:sz w:val="18"/>
                <w:szCs w:val="18"/>
              </w:rPr>
              <w:t>owa</w:t>
            </w:r>
            <w:r w:rsidR="009859C7" w:rsidRPr="0056601C">
              <w:rPr>
                <w:rFonts w:cs="Arial"/>
                <w:sz w:val="18"/>
                <w:szCs w:val="18"/>
              </w:rPr>
              <w:t xml:space="preserve"> </w:t>
            </w:r>
            <w:r w:rsidR="00523273" w:rsidRPr="0056601C">
              <w:rPr>
                <w:rFonts w:cs="Arial"/>
                <w:sz w:val="18"/>
                <w:szCs w:val="18"/>
              </w:rPr>
              <w:t xml:space="preserve">za usługi </w:t>
            </w:r>
            <w:r w:rsidR="007C0636">
              <w:rPr>
                <w:rFonts w:cs="Arial"/>
                <w:sz w:val="18"/>
                <w:szCs w:val="18"/>
              </w:rPr>
              <w:t>telefonii</w:t>
            </w:r>
            <w:r w:rsidR="00523273" w:rsidRPr="0056601C">
              <w:rPr>
                <w:rFonts w:cs="Arial"/>
                <w:sz w:val="18"/>
                <w:szCs w:val="18"/>
              </w:rPr>
              <w:t>, internetowe</w:t>
            </w:r>
            <w:r w:rsidR="006F2022" w:rsidRPr="0056601C">
              <w:rPr>
                <w:rFonts w:cs="Arial"/>
                <w:sz w:val="18"/>
                <w:szCs w:val="18"/>
              </w:rPr>
              <w:t xml:space="preserve"> i opiekę serwisową</w:t>
            </w:r>
            <w:r w:rsidR="00523273" w:rsidRPr="0056601C">
              <w:rPr>
                <w:rFonts w:cs="Arial"/>
                <w:sz w:val="18"/>
                <w:szCs w:val="18"/>
              </w:rPr>
              <w:t xml:space="preserve"> </w:t>
            </w:r>
            <w:r w:rsidRPr="0056601C">
              <w:rPr>
                <w:rFonts w:cs="Arial"/>
                <w:sz w:val="18"/>
                <w:szCs w:val="18"/>
              </w:rPr>
              <w:t>gwarantowana</w:t>
            </w:r>
            <w:r w:rsidR="009859C7" w:rsidRPr="0056601C">
              <w:rPr>
                <w:rFonts w:cs="Arial"/>
                <w:sz w:val="18"/>
                <w:szCs w:val="18"/>
              </w:rPr>
              <w:t xml:space="preserve"> </w:t>
            </w:r>
            <w:r w:rsidR="00CF7298" w:rsidRPr="0056601C">
              <w:rPr>
                <w:rFonts w:cs="Arial"/>
                <w:sz w:val="18"/>
                <w:szCs w:val="18"/>
              </w:rPr>
              <w:t>przez</w:t>
            </w:r>
            <w:r w:rsidRPr="0056601C">
              <w:rPr>
                <w:rFonts w:cs="Arial"/>
                <w:sz w:val="18"/>
                <w:szCs w:val="18"/>
              </w:rPr>
              <w:t xml:space="preserve"> </w:t>
            </w:r>
            <w:r w:rsidR="005B572A" w:rsidRPr="0056601C">
              <w:rPr>
                <w:rFonts w:cs="Arial"/>
                <w:sz w:val="18"/>
                <w:szCs w:val="18"/>
              </w:rPr>
              <w:t>3</w:t>
            </w:r>
            <w:r w:rsidR="009859C7" w:rsidRPr="0056601C">
              <w:rPr>
                <w:rFonts w:cs="Arial"/>
                <w:sz w:val="18"/>
                <w:szCs w:val="18"/>
              </w:rPr>
              <w:t xml:space="preserve"> lat</w:t>
            </w:r>
            <w:r w:rsidR="005B572A" w:rsidRPr="0056601C">
              <w:rPr>
                <w:rFonts w:cs="Arial"/>
                <w:sz w:val="18"/>
                <w:szCs w:val="18"/>
              </w:rPr>
              <w:t>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859C7" w:rsidRDefault="009859C7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859C7" w:rsidRPr="00FC790D" w:rsidRDefault="009859C7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859C7" w:rsidRPr="00FC790D" w:rsidRDefault="009859C7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143838" w:rsidRPr="00FC790D" w:rsidTr="00DC7B78">
        <w:trPr>
          <w:trHeight w:hRule="exact" w:val="519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143838" w:rsidRPr="00FC790D" w:rsidRDefault="00143838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43838" w:rsidRPr="0056601C" w:rsidRDefault="00143838" w:rsidP="000E4C84">
            <w:pPr>
              <w:spacing w:line="276" w:lineRule="auto"/>
              <w:ind w:left="102"/>
              <w:contextualSpacing/>
              <w:jc w:val="both"/>
              <w:rPr>
                <w:rFonts w:cs="Arial"/>
                <w:sz w:val="18"/>
                <w:szCs w:val="18"/>
                <w:highlight w:val="yellow"/>
              </w:rPr>
            </w:pPr>
            <w:r w:rsidRPr="0056601C">
              <w:rPr>
                <w:rFonts w:cs="Arial"/>
                <w:sz w:val="18"/>
                <w:szCs w:val="18"/>
              </w:rPr>
              <w:t xml:space="preserve">Rozmowy </w:t>
            </w:r>
            <w:r w:rsidR="00C23B49" w:rsidRPr="0056601C">
              <w:rPr>
                <w:rFonts w:cs="Arial"/>
                <w:sz w:val="18"/>
                <w:szCs w:val="18"/>
              </w:rPr>
              <w:t>wewnętrzne (</w:t>
            </w:r>
            <w:r w:rsidRPr="0056601C">
              <w:rPr>
                <w:rFonts w:cs="Arial"/>
                <w:sz w:val="18"/>
                <w:szCs w:val="18"/>
              </w:rPr>
              <w:t xml:space="preserve">wewnątrz </w:t>
            </w:r>
            <w:r w:rsidR="004F7A0F" w:rsidRPr="0056601C">
              <w:rPr>
                <w:rFonts w:cs="Arial"/>
                <w:sz w:val="18"/>
                <w:szCs w:val="18"/>
              </w:rPr>
              <w:t>Szpitala</w:t>
            </w:r>
            <w:r w:rsidR="00C23B49" w:rsidRPr="0056601C">
              <w:rPr>
                <w:rFonts w:cs="Arial"/>
                <w:sz w:val="18"/>
                <w:szCs w:val="18"/>
              </w:rPr>
              <w:t>)</w:t>
            </w:r>
            <w:r w:rsidR="004F7A0F" w:rsidRPr="0056601C">
              <w:rPr>
                <w:rFonts w:cs="Arial"/>
                <w:sz w:val="18"/>
                <w:szCs w:val="18"/>
              </w:rPr>
              <w:t xml:space="preserve"> </w:t>
            </w:r>
            <w:r w:rsidR="00D01AAC" w:rsidRPr="0056601C">
              <w:rPr>
                <w:rFonts w:cs="Arial"/>
                <w:sz w:val="18"/>
                <w:szCs w:val="18"/>
              </w:rPr>
              <w:t>w ramach miesięcznej stałej opłaty abonamentowej</w:t>
            </w:r>
            <w:r w:rsidR="002F4D00" w:rsidRPr="0056601C">
              <w:rPr>
                <w:rFonts w:cs="Arial"/>
                <w:sz w:val="18"/>
                <w:szCs w:val="18"/>
              </w:rPr>
              <w:t>.</w:t>
            </w:r>
            <w:r w:rsidRPr="0056601C">
              <w:rPr>
                <w:rFonts w:cs="Arial"/>
                <w:sz w:val="18"/>
                <w:szCs w:val="18"/>
              </w:rPr>
              <w:t xml:space="preserve">  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143838" w:rsidRDefault="00143838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143838" w:rsidRPr="00FC790D" w:rsidRDefault="00143838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143838" w:rsidRPr="00FC790D" w:rsidRDefault="00143838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727060" w:rsidRPr="00FC790D" w:rsidTr="00DC7B78">
        <w:trPr>
          <w:trHeight w:hRule="exact" w:val="28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727060" w:rsidRPr="00FC790D" w:rsidRDefault="00727060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727060" w:rsidRPr="0056601C" w:rsidRDefault="00727060" w:rsidP="00727060">
            <w:pPr>
              <w:spacing w:line="276" w:lineRule="auto"/>
              <w:ind w:left="102"/>
              <w:contextualSpacing/>
              <w:jc w:val="both"/>
              <w:rPr>
                <w:rFonts w:cs="Arial"/>
                <w:sz w:val="18"/>
                <w:szCs w:val="18"/>
                <w:highlight w:val="yellow"/>
              </w:rPr>
            </w:pPr>
            <w:r w:rsidRPr="0056601C">
              <w:rPr>
                <w:rFonts w:cs="Arial"/>
                <w:sz w:val="18"/>
                <w:szCs w:val="18"/>
              </w:rPr>
              <w:t>Rozliczanie rozmów w trybie sekundowym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727060" w:rsidRDefault="00727060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727060" w:rsidRPr="00FC790D" w:rsidRDefault="00727060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727060" w:rsidRPr="00FC790D" w:rsidRDefault="00727060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4539A2" w:rsidRPr="00FC790D" w:rsidTr="00DC7B78">
        <w:trPr>
          <w:trHeight w:hRule="exact" w:val="114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4539A2" w:rsidRPr="00FC790D" w:rsidRDefault="004539A2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539A2" w:rsidRPr="0056601C" w:rsidRDefault="00CC5E11" w:rsidP="00727060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  <w:highlight w:val="green"/>
              </w:rPr>
            </w:pPr>
            <w:r w:rsidRPr="0056601C">
              <w:rPr>
                <w:rFonts w:ascii="Calibri" w:hAnsi="Calibri"/>
                <w:sz w:val="20"/>
              </w:rPr>
              <w:t>Przesyłanie przez Wykonawcę w drodze elektronicznej szczegółowych wykazów połączeń zrealizowanych dla każdego numeru publicznego, na wsk</w:t>
            </w:r>
            <w:r w:rsidR="007E3759">
              <w:rPr>
                <w:rFonts w:ascii="Calibri" w:hAnsi="Calibri"/>
                <w:sz w:val="20"/>
              </w:rPr>
              <w:t>azany przez Zamawiającego adres wraz wystawianą co miesiąc fakturą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539A2" w:rsidRDefault="004539A2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4539A2" w:rsidRPr="00FC790D" w:rsidRDefault="004539A2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4539A2" w:rsidRPr="00FC790D" w:rsidRDefault="004539A2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0E4C84" w:rsidRPr="00FC790D" w:rsidTr="00DC7B78">
        <w:trPr>
          <w:trHeight w:hRule="exact" w:val="85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0E4C84" w:rsidRPr="00FC790D" w:rsidRDefault="000E4C84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0E4C84" w:rsidRPr="00DC7B78" w:rsidRDefault="000E4C84" w:rsidP="000E4C84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  <w:highlight w:val="yellow"/>
              </w:rPr>
            </w:pPr>
            <w:r w:rsidRPr="00DC7B78">
              <w:rPr>
                <w:rFonts w:ascii="Calibri" w:hAnsi="Calibri"/>
                <w:sz w:val="20"/>
              </w:rPr>
              <w:t xml:space="preserve">rozmowy na telefony stacjonarne </w:t>
            </w:r>
            <w:r w:rsidR="00C23B49" w:rsidRPr="00DC7B78">
              <w:rPr>
                <w:rFonts w:ascii="Calibri" w:hAnsi="Calibri"/>
                <w:sz w:val="20"/>
              </w:rPr>
              <w:t xml:space="preserve">(poza Szpitalem) </w:t>
            </w:r>
            <w:r w:rsidRPr="00DC7B78">
              <w:rPr>
                <w:rFonts w:ascii="Calibri" w:hAnsi="Calibri"/>
                <w:sz w:val="20"/>
              </w:rPr>
              <w:t>i komórkowe w Polsce oraz międzynarodowe</w:t>
            </w:r>
            <w:r w:rsidR="005021A3" w:rsidRPr="00DC7B78">
              <w:rPr>
                <w:rFonts w:ascii="Calibri" w:hAnsi="Calibri"/>
                <w:sz w:val="20"/>
              </w:rPr>
              <w:t xml:space="preserve"> rozliczane</w:t>
            </w:r>
            <w:r w:rsidRPr="00DC7B78">
              <w:rPr>
                <w:rFonts w:ascii="Calibri" w:hAnsi="Calibri"/>
                <w:sz w:val="20"/>
              </w:rPr>
              <w:t xml:space="preserve"> </w:t>
            </w:r>
            <w:r w:rsidR="00C11CC2" w:rsidRPr="00DC7B78">
              <w:rPr>
                <w:rFonts w:ascii="Calibri" w:hAnsi="Calibri"/>
                <w:sz w:val="20"/>
              </w:rPr>
              <w:t>osobno po</w:t>
            </w:r>
            <w:r w:rsidRPr="00DC7B78">
              <w:rPr>
                <w:rFonts w:ascii="Calibri" w:hAnsi="Calibri"/>
                <w:sz w:val="20"/>
              </w:rPr>
              <w:t>za abonamentem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0E4C84" w:rsidRDefault="000E4C84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0E4C84" w:rsidRPr="00FC790D" w:rsidRDefault="000E4C84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0E4C84" w:rsidRPr="00FC790D" w:rsidRDefault="000E4C84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923FA2" w:rsidRPr="00FC790D" w:rsidTr="007B5929">
        <w:trPr>
          <w:trHeight w:hRule="exact" w:val="1777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923FA2" w:rsidRPr="00FC790D" w:rsidRDefault="00923FA2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23FA2" w:rsidRPr="00DC7B78" w:rsidRDefault="00285698" w:rsidP="00CF7298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</w:rPr>
            </w:pPr>
            <w:r w:rsidRPr="00DC7B78">
              <w:rPr>
                <w:rFonts w:ascii="Calibri" w:hAnsi="Calibri"/>
                <w:sz w:val="20"/>
              </w:rPr>
              <w:t xml:space="preserve">Maksymalne stawki </w:t>
            </w:r>
            <w:r w:rsidR="006B6C0A" w:rsidRPr="00DC7B78">
              <w:rPr>
                <w:rFonts w:ascii="Calibri" w:hAnsi="Calibri"/>
                <w:sz w:val="20"/>
              </w:rPr>
              <w:t>za połą</w:t>
            </w:r>
            <w:r w:rsidRPr="00DC7B78">
              <w:rPr>
                <w:rFonts w:ascii="Calibri" w:hAnsi="Calibri"/>
                <w:sz w:val="20"/>
              </w:rPr>
              <w:t>czenia</w:t>
            </w:r>
            <w:r w:rsidR="005151F3" w:rsidRPr="00DC7B78">
              <w:rPr>
                <w:rFonts w:ascii="Calibri" w:hAnsi="Calibri"/>
                <w:sz w:val="20"/>
              </w:rPr>
              <w:t xml:space="preserve"> </w:t>
            </w:r>
            <w:r w:rsidRPr="00DC7B78">
              <w:rPr>
                <w:rFonts w:ascii="Calibri" w:hAnsi="Calibri"/>
                <w:sz w:val="20"/>
              </w:rPr>
              <w:t xml:space="preserve">na </w:t>
            </w:r>
            <w:r w:rsidR="005D61C5" w:rsidRPr="00DC7B78">
              <w:rPr>
                <w:rFonts w:ascii="Calibri" w:hAnsi="Calibri"/>
                <w:sz w:val="20"/>
              </w:rPr>
              <w:t>numery telefonów stacjonarnych i</w:t>
            </w:r>
            <w:r w:rsidR="005151F3" w:rsidRPr="00DC7B78">
              <w:rPr>
                <w:rFonts w:ascii="Calibri" w:hAnsi="Calibri"/>
                <w:sz w:val="20"/>
              </w:rPr>
              <w:t xml:space="preserve"> </w:t>
            </w:r>
            <w:r w:rsidR="005D61C5" w:rsidRPr="00DC7B78">
              <w:rPr>
                <w:rFonts w:ascii="Calibri" w:hAnsi="Calibri"/>
                <w:sz w:val="20"/>
              </w:rPr>
              <w:t>komórkowych</w:t>
            </w:r>
            <w:r w:rsidR="006B6C0A" w:rsidRPr="00DC7B78">
              <w:rPr>
                <w:rFonts w:ascii="Calibri" w:hAnsi="Calibri"/>
                <w:sz w:val="20"/>
              </w:rPr>
              <w:t>:</w:t>
            </w:r>
          </w:p>
          <w:p w:rsidR="00F0761D" w:rsidRPr="00DC7B78" w:rsidRDefault="00636EC3" w:rsidP="00CF7298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  <w:highlight w:val="yellow"/>
              </w:rPr>
            </w:pPr>
            <w:r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Połączenia na </w:t>
            </w:r>
            <w:r w:rsidR="00D22D17"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numery stacjonarne w Polsce </w:t>
            </w:r>
            <w:r w:rsidR="00830C2D" w:rsidRPr="00DC7B78">
              <w:rPr>
                <w:rFonts w:ascii="Calibri" w:eastAsia="Calibri" w:hAnsi="Calibri" w:cs="Calibri"/>
                <w:color w:val="1A171B"/>
                <w:sz w:val="20"/>
              </w:rPr>
              <w:t>–</w:t>
            </w:r>
            <w:r w:rsidR="00D22D17"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 </w:t>
            </w:r>
            <w:r w:rsidR="004B7C30"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maks. </w:t>
            </w:r>
            <w:r w:rsidR="00830C2D" w:rsidRPr="00DC7B78">
              <w:rPr>
                <w:rFonts w:ascii="Calibri" w:eastAsia="Calibri" w:hAnsi="Calibri" w:cs="Calibri"/>
                <w:color w:val="1A171B"/>
                <w:sz w:val="20"/>
              </w:rPr>
              <w:t>0,</w:t>
            </w:r>
            <w:r w:rsidR="00C515B6" w:rsidRPr="00DC7B78">
              <w:rPr>
                <w:rFonts w:ascii="Calibri" w:eastAsia="Calibri" w:hAnsi="Calibri" w:cs="Calibri"/>
                <w:color w:val="1A171B"/>
                <w:sz w:val="20"/>
              </w:rPr>
              <w:t>06</w:t>
            </w:r>
            <w:r w:rsidR="00830C2D"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 </w:t>
            </w:r>
            <w:proofErr w:type="spellStart"/>
            <w:r w:rsidR="006F2F55" w:rsidRPr="00DC7B78">
              <w:rPr>
                <w:rFonts w:ascii="Calibri" w:eastAsia="Calibri" w:hAnsi="Calibri" w:cs="Calibri"/>
                <w:color w:val="1A171B"/>
                <w:sz w:val="20"/>
              </w:rPr>
              <w:t>pln</w:t>
            </w:r>
            <w:proofErr w:type="spellEnd"/>
            <w:r w:rsidR="006F2F55"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 </w:t>
            </w:r>
            <w:r w:rsidR="00830C2D" w:rsidRPr="00DC7B78">
              <w:rPr>
                <w:rFonts w:ascii="Calibri" w:eastAsia="Calibri" w:hAnsi="Calibri" w:cs="Calibri"/>
                <w:color w:val="1A171B"/>
                <w:sz w:val="20"/>
              </w:rPr>
              <w:t>netto / 1 min.</w:t>
            </w:r>
          </w:p>
          <w:p w:rsidR="00F0761D" w:rsidRPr="00DC7B78" w:rsidRDefault="00FA3AD7" w:rsidP="00CF7298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  <w:highlight w:val="yellow"/>
              </w:rPr>
            </w:pPr>
            <w:r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Połączenia na numery komórkowe w Polsce – </w:t>
            </w:r>
            <w:r w:rsidR="004B7C30"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maks. </w:t>
            </w:r>
            <w:r w:rsidRPr="00DC7B78">
              <w:rPr>
                <w:rFonts w:ascii="Calibri" w:eastAsia="Calibri" w:hAnsi="Calibri" w:cs="Calibri"/>
                <w:color w:val="1A171B"/>
                <w:sz w:val="20"/>
              </w:rPr>
              <w:t>0,09</w:t>
            </w:r>
            <w:r w:rsidR="006F2F55"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 </w:t>
            </w:r>
            <w:proofErr w:type="spellStart"/>
            <w:r w:rsidR="006F2F55" w:rsidRPr="00DC7B78">
              <w:rPr>
                <w:rFonts w:ascii="Calibri" w:eastAsia="Calibri" w:hAnsi="Calibri" w:cs="Calibri"/>
                <w:color w:val="1A171B"/>
                <w:sz w:val="20"/>
              </w:rPr>
              <w:t>pln</w:t>
            </w:r>
            <w:proofErr w:type="spellEnd"/>
            <w:r w:rsidR="006F2F55"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 </w:t>
            </w:r>
            <w:r w:rsidRPr="00DC7B78">
              <w:rPr>
                <w:rFonts w:ascii="Calibri" w:eastAsia="Calibri" w:hAnsi="Calibri" w:cs="Calibri"/>
                <w:color w:val="1A171B"/>
                <w:sz w:val="20"/>
              </w:rPr>
              <w:t xml:space="preserve"> netto / 1 min.</w:t>
            </w:r>
          </w:p>
          <w:p w:rsidR="00F0761D" w:rsidRPr="00DC7B78" w:rsidRDefault="00F0761D" w:rsidP="00CF7298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  <w:highlight w:val="yellow"/>
              </w:rPr>
            </w:pPr>
          </w:p>
          <w:p w:rsidR="00F0761D" w:rsidRPr="00DC7B78" w:rsidRDefault="00F0761D" w:rsidP="00CF7298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  <w:highlight w:val="yellow"/>
              </w:rPr>
            </w:pPr>
          </w:p>
          <w:p w:rsidR="006B6C0A" w:rsidRPr="00DC7B78" w:rsidRDefault="006B6C0A" w:rsidP="00CF7298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  <w:highlight w:val="yellow"/>
              </w:rPr>
            </w:pP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923FA2" w:rsidRDefault="00923FA2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923FA2" w:rsidRPr="00FC790D" w:rsidRDefault="00923FA2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923FA2" w:rsidRPr="00FC790D" w:rsidRDefault="00923FA2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523273" w:rsidRPr="00FC790D" w:rsidTr="00DC7B78">
        <w:trPr>
          <w:trHeight w:hRule="exact" w:val="34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523273" w:rsidRPr="00FC790D" w:rsidRDefault="00523273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23273" w:rsidRPr="00DC7B78" w:rsidRDefault="00143838" w:rsidP="005A12C6">
            <w:pPr>
              <w:spacing w:line="276" w:lineRule="auto"/>
              <w:ind w:left="102"/>
              <w:contextualSpacing/>
              <w:jc w:val="both"/>
              <w:rPr>
                <w:rFonts w:cstheme="minorHAnsi"/>
                <w:sz w:val="20"/>
              </w:rPr>
            </w:pPr>
            <w:r w:rsidRPr="00DC7B78">
              <w:rPr>
                <w:rFonts w:ascii="Calibri" w:hAnsi="Calibri"/>
                <w:sz w:val="20"/>
              </w:rPr>
              <w:t>umowa obsługi</w:t>
            </w:r>
            <w:r w:rsidR="005A12C6" w:rsidRPr="00DC7B78">
              <w:rPr>
                <w:rFonts w:ascii="Calibri" w:hAnsi="Calibri"/>
                <w:sz w:val="20"/>
              </w:rPr>
              <w:t xml:space="preserve"> serwisowej </w:t>
            </w:r>
            <w:r w:rsidR="00D863B0" w:rsidRPr="00DC7B78">
              <w:rPr>
                <w:rFonts w:ascii="Calibri" w:hAnsi="Calibri"/>
                <w:sz w:val="20"/>
              </w:rPr>
              <w:t>i abonamentowa min. na 3</w:t>
            </w:r>
            <w:r w:rsidR="00C11CC2" w:rsidRPr="00DC7B78">
              <w:rPr>
                <w:rFonts w:ascii="Calibri" w:hAnsi="Calibri"/>
                <w:sz w:val="20"/>
              </w:rPr>
              <w:t xml:space="preserve"> lat</w:t>
            </w:r>
            <w:r w:rsidR="00D863B0" w:rsidRPr="00DC7B78">
              <w:rPr>
                <w:rFonts w:ascii="Calibri" w:hAnsi="Calibri"/>
                <w:sz w:val="20"/>
              </w:rPr>
              <w:t>a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523273" w:rsidRDefault="00523273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523273" w:rsidRPr="00FC790D" w:rsidRDefault="00523273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523273" w:rsidRPr="00FC790D" w:rsidRDefault="00523273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4548A9" w:rsidRPr="00FC790D" w:rsidTr="00D32BF2">
        <w:trPr>
          <w:trHeight w:hRule="exact" w:val="716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4548A9" w:rsidRPr="00FC790D" w:rsidRDefault="004548A9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548A9" w:rsidRPr="00DC7B78" w:rsidRDefault="004548A9" w:rsidP="005A12C6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</w:rPr>
            </w:pPr>
            <w:r w:rsidRPr="00DC7B78">
              <w:rPr>
                <w:rFonts w:ascii="Calibri" w:hAnsi="Calibri"/>
                <w:sz w:val="20"/>
              </w:rPr>
              <w:t xml:space="preserve">SLA </w:t>
            </w:r>
            <w:r w:rsidR="00D32BF2">
              <w:rPr>
                <w:rFonts w:ascii="Calibri" w:hAnsi="Calibri"/>
                <w:sz w:val="20"/>
              </w:rPr>
              <w:t xml:space="preserve">dla usługi dostępu do </w:t>
            </w:r>
            <w:proofErr w:type="spellStart"/>
            <w:r w:rsidR="00D32BF2">
              <w:rPr>
                <w:rFonts w:ascii="Calibri" w:hAnsi="Calibri"/>
                <w:sz w:val="20"/>
              </w:rPr>
              <w:t>internetu</w:t>
            </w:r>
            <w:proofErr w:type="spellEnd"/>
            <w:r w:rsidR="00D32BF2">
              <w:rPr>
                <w:rFonts w:ascii="Calibri" w:hAnsi="Calibri"/>
                <w:sz w:val="20"/>
              </w:rPr>
              <w:t xml:space="preserve"> </w:t>
            </w:r>
            <w:r w:rsidRPr="00DC7B78">
              <w:rPr>
                <w:rFonts w:ascii="Calibri" w:hAnsi="Calibri"/>
                <w:sz w:val="20"/>
              </w:rPr>
              <w:t xml:space="preserve"> </w:t>
            </w:r>
            <w:r w:rsidR="00D32BF2">
              <w:rPr>
                <w:rFonts w:ascii="Calibri" w:hAnsi="Calibri"/>
                <w:sz w:val="20"/>
              </w:rPr>
              <w:t xml:space="preserve">na poziomie </w:t>
            </w:r>
            <w:r w:rsidRPr="00DC7B78">
              <w:rPr>
                <w:rFonts w:ascii="Calibri" w:hAnsi="Calibri"/>
                <w:sz w:val="20"/>
              </w:rPr>
              <w:t>min. 99%</w:t>
            </w:r>
            <w:r w:rsidR="00D32BF2">
              <w:rPr>
                <w:rFonts w:ascii="Calibri" w:hAnsi="Calibri"/>
                <w:sz w:val="20"/>
              </w:rPr>
              <w:t xml:space="preserve"> w stosunku rocznym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548A9" w:rsidRDefault="004548A9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4548A9" w:rsidRPr="00FC790D" w:rsidRDefault="004548A9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4548A9" w:rsidRPr="00FC790D" w:rsidRDefault="004548A9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CC5E11" w:rsidRPr="00FC790D" w:rsidTr="00DC7B78">
        <w:trPr>
          <w:trHeight w:hRule="exact" w:val="1143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CC5E11" w:rsidRPr="00FC790D" w:rsidRDefault="00CC5E11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C5E11" w:rsidRPr="00DC7B78" w:rsidRDefault="00E3351A" w:rsidP="00C8159F">
            <w:pPr>
              <w:spacing w:line="276" w:lineRule="auto"/>
              <w:ind w:left="102"/>
              <w:contextualSpacing/>
              <w:jc w:val="both"/>
              <w:rPr>
                <w:rFonts w:ascii="Calibri" w:hAnsi="Calibri"/>
                <w:sz w:val="20"/>
              </w:rPr>
            </w:pPr>
            <w:r w:rsidRPr="00DC7B78">
              <w:rPr>
                <w:rFonts w:ascii="Calibri" w:hAnsi="Calibri"/>
                <w:sz w:val="20"/>
              </w:rPr>
              <w:t xml:space="preserve">Standard usług: spełnienie przez Wykonawcę wszelkich wymagań jakościowych i formalnych </w:t>
            </w:r>
            <w:r w:rsidR="00C8159F" w:rsidRPr="00DC7B78">
              <w:rPr>
                <w:rFonts w:ascii="Calibri" w:hAnsi="Calibri"/>
                <w:sz w:val="20"/>
              </w:rPr>
              <w:t xml:space="preserve">określonych w Ustawie z dnia 16 lipca 2014 r. (Prawo telekomunikacyjne (Dz. U. z 2014 r., poz. 243 z </w:t>
            </w:r>
            <w:proofErr w:type="spellStart"/>
            <w:r w:rsidR="00C8159F" w:rsidRPr="00DC7B78">
              <w:rPr>
                <w:rFonts w:ascii="Calibri" w:hAnsi="Calibri"/>
                <w:sz w:val="20"/>
              </w:rPr>
              <w:t>późn</w:t>
            </w:r>
            <w:proofErr w:type="spellEnd"/>
            <w:r w:rsidR="00C8159F" w:rsidRPr="00DC7B78">
              <w:rPr>
                <w:rFonts w:ascii="Calibri" w:hAnsi="Calibri"/>
                <w:sz w:val="20"/>
              </w:rPr>
              <w:t>. zm.)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CC5E11" w:rsidRDefault="00CC5E11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CC5E11" w:rsidRPr="00FC790D" w:rsidRDefault="00CC5E11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CC5E11" w:rsidRPr="00FC790D" w:rsidRDefault="00CC5E11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A238C8" w:rsidRPr="00FC790D" w:rsidTr="00166D05">
        <w:trPr>
          <w:trHeight w:hRule="exact" w:val="841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A238C8" w:rsidRPr="00FC790D" w:rsidRDefault="00A238C8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238C8" w:rsidRPr="009F612F" w:rsidRDefault="00166D05" w:rsidP="00CF7298">
            <w:pPr>
              <w:spacing w:line="276" w:lineRule="auto"/>
              <w:ind w:left="102"/>
              <w:contextualSpacing/>
              <w:jc w:val="both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Zagwarantowanie przez Wykonawcę </w:t>
            </w:r>
            <w:r w:rsidR="00A238C8" w:rsidRPr="009F612F">
              <w:rPr>
                <w:rFonts w:cstheme="minorHAnsi"/>
                <w:sz w:val="20"/>
              </w:rPr>
              <w:t xml:space="preserve"> działania </w:t>
            </w:r>
            <w:r>
              <w:rPr>
                <w:rFonts w:cstheme="minorHAnsi"/>
                <w:sz w:val="20"/>
              </w:rPr>
              <w:t>oferowanych usług</w:t>
            </w:r>
            <w:r w:rsidR="00A238C8" w:rsidRPr="009F612F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 xml:space="preserve"> przez </w:t>
            </w:r>
            <w:r w:rsidR="00656D1A" w:rsidRPr="009F612F">
              <w:rPr>
                <w:rFonts w:cstheme="minorHAnsi"/>
                <w:sz w:val="20"/>
              </w:rPr>
              <w:t xml:space="preserve"> </w:t>
            </w:r>
            <w:r w:rsidR="00A238C8" w:rsidRPr="009F612F">
              <w:rPr>
                <w:rFonts w:cstheme="minorHAnsi"/>
                <w:sz w:val="20"/>
              </w:rPr>
              <w:t>min. 5 lat</w:t>
            </w:r>
            <w:r>
              <w:rPr>
                <w:rFonts w:cstheme="minorHAnsi"/>
                <w:sz w:val="20"/>
              </w:rPr>
              <w:t>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A238C8" w:rsidRDefault="00A238C8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A238C8" w:rsidRPr="00FC790D" w:rsidRDefault="00A238C8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A238C8" w:rsidRPr="00FC790D" w:rsidRDefault="00A238C8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  <w:tr w:rsidR="004F16E0" w:rsidRPr="00FC790D" w:rsidTr="00DC7B78">
        <w:trPr>
          <w:trHeight w:hRule="exact" w:val="8510"/>
        </w:trPr>
        <w:tc>
          <w:tcPr>
            <w:tcW w:w="851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</w:tcBorders>
            <w:vAlign w:val="center"/>
          </w:tcPr>
          <w:p w:rsidR="004F16E0" w:rsidRPr="00FC790D" w:rsidRDefault="004F16E0" w:rsidP="009C1556">
            <w:pPr>
              <w:pStyle w:val="Tabela1"/>
              <w:numPr>
                <w:ilvl w:val="0"/>
                <w:numId w:val="10"/>
              </w:num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5051" w:type="dxa"/>
            <w:tcBorders>
              <w:top w:val="single" w:sz="12" w:space="0" w:color="000080"/>
              <w:bottom w:val="single" w:sz="12" w:space="0" w:color="000080"/>
            </w:tcBorders>
          </w:tcPr>
          <w:p w:rsidR="00967586" w:rsidRPr="005924EE" w:rsidRDefault="00A352D3" w:rsidP="00967586">
            <w:pPr>
              <w:spacing w:line="276" w:lineRule="auto"/>
              <w:ind w:left="102"/>
              <w:contextualSpacing/>
              <w:rPr>
                <w:rFonts w:cs="Arial"/>
                <w:sz w:val="20"/>
              </w:rPr>
            </w:pPr>
            <w:r w:rsidRPr="005924EE">
              <w:rPr>
                <w:rFonts w:cs="Arial"/>
                <w:sz w:val="20"/>
              </w:rPr>
              <w:t>zakres objęty obsługą</w:t>
            </w:r>
            <w:r w:rsidR="00BB6DF4" w:rsidRPr="005924EE">
              <w:rPr>
                <w:rFonts w:cs="Arial"/>
                <w:sz w:val="20"/>
              </w:rPr>
              <w:t xml:space="preserve"> serwisową: </w:t>
            </w:r>
          </w:p>
          <w:p w:rsidR="004F16E0" w:rsidRPr="00967586" w:rsidRDefault="00BB6DF4" w:rsidP="00FF021E">
            <w:pPr>
              <w:spacing w:line="276" w:lineRule="auto"/>
              <w:ind w:left="102"/>
              <w:contextualSpacing/>
              <w:rPr>
                <w:rFonts w:cstheme="minorHAnsi"/>
                <w:sz w:val="20"/>
                <w:highlight w:val="yellow"/>
              </w:rPr>
            </w:pPr>
            <w:r w:rsidRPr="005924EE">
              <w:rPr>
                <w:rFonts w:cs="Arial"/>
                <w:sz w:val="20"/>
              </w:rPr>
              <w:t>1.3       przeglądy techniczne oraz konserwacja (w</w:t>
            </w:r>
            <w:r w:rsidR="006C56AF" w:rsidRPr="005924EE">
              <w:rPr>
                <w:rFonts w:cs="Arial"/>
                <w:sz w:val="20"/>
              </w:rPr>
              <w:t xml:space="preserve"> miejscu instalacji min.</w:t>
            </w:r>
            <w:r w:rsidRPr="005924EE">
              <w:rPr>
                <w:rFonts w:cs="Arial"/>
                <w:sz w:val="20"/>
              </w:rPr>
              <w:t xml:space="preserve"> </w:t>
            </w:r>
            <w:r w:rsidR="00E857BB" w:rsidRPr="005924EE">
              <w:rPr>
                <w:rFonts w:cs="Arial"/>
                <w:sz w:val="20"/>
              </w:rPr>
              <w:t xml:space="preserve">2 </w:t>
            </w:r>
            <w:r w:rsidRPr="005924EE">
              <w:rPr>
                <w:rFonts w:cs="Arial"/>
                <w:sz w:val="20"/>
              </w:rPr>
              <w:t>raz</w:t>
            </w:r>
            <w:r w:rsidR="00E857BB" w:rsidRPr="005924EE">
              <w:rPr>
                <w:rFonts w:cs="Arial"/>
                <w:sz w:val="20"/>
              </w:rPr>
              <w:t>y</w:t>
            </w:r>
            <w:r w:rsidRPr="005924EE">
              <w:rPr>
                <w:rFonts w:cs="Arial"/>
                <w:sz w:val="20"/>
              </w:rPr>
              <w:t xml:space="preserve"> w roku )</w:t>
            </w:r>
            <w:r w:rsidRPr="005924EE">
              <w:br/>
            </w:r>
            <w:r w:rsidRPr="005924EE">
              <w:rPr>
                <w:rFonts w:cs="Arial"/>
                <w:sz w:val="20"/>
              </w:rPr>
              <w:t>1.4       korekta czasu systemowego,</w:t>
            </w:r>
            <w:r w:rsidRPr="005924EE">
              <w:t xml:space="preserve"> </w:t>
            </w:r>
            <w:r w:rsidRPr="005924EE">
              <w:br/>
            </w:r>
            <w:r w:rsidRPr="005924EE">
              <w:rPr>
                <w:rFonts w:cs="Arial"/>
                <w:sz w:val="20"/>
              </w:rPr>
              <w:t>1.5       aktualizacja konfiguracji użytkowej,</w:t>
            </w:r>
            <w:r w:rsidRPr="005924EE">
              <w:t xml:space="preserve"> </w:t>
            </w:r>
            <w:r w:rsidRPr="005924EE">
              <w:br/>
            </w:r>
            <w:r w:rsidRPr="005924EE">
              <w:rPr>
                <w:rFonts w:cs="Arial"/>
                <w:sz w:val="20"/>
              </w:rPr>
              <w:t>1.6       instalowanie nowych, stabilnych wersji oprogramowania,</w:t>
            </w:r>
            <w:r w:rsidRPr="005924EE">
              <w:t xml:space="preserve"> </w:t>
            </w:r>
            <w:r w:rsidRPr="00967586">
              <w:rPr>
                <w:highlight w:val="yellow"/>
              </w:rPr>
              <w:br/>
            </w:r>
            <w:r w:rsidRPr="005924EE">
              <w:rPr>
                <w:rFonts w:cs="Arial"/>
                <w:sz w:val="20"/>
              </w:rPr>
              <w:t>1.7       sporządzenie i aktualizacja kopii konfiguracji</w:t>
            </w:r>
            <w:r w:rsidRPr="005924EE">
              <w:t xml:space="preserve"> </w:t>
            </w:r>
            <w:r w:rsidRPr="005924EE">
              <w:br/>
            </w:r>
            <w:r w:rsidRPr="005924EE">
              <w:rPr>
                <w:rFonts w:cs="Arial"/>
                <w:sz w:val="20"/>
              </w:rPr>
              <w:t>1.8       doradztwo techniczne i eksploatacyjne w czasie przeglądów oraz konsultacje telefoniczne w zakresie prawidłowej obsługi i eksploatacji</w:t>
            </w:r>
            <w:r w:rsidRPr="005924EE">
              <w:t xml:space="preserve"> </w:t>
            </w:r>
            <w:r w:rsidRPr="005924EE">
              <w:br/>
            </w:r>
            <w:r w:rsidRPr="005924EE">
              <w:rPr>
                <w:rFonts w:cs="Arial"/>
                <w:sz w:val="20"/>
              </w:rPr>
              <w:t xml:space="preserve">1.9       utrzymywanie w pełnej sprawności technicznej wszystkich portów Urządzenia Abonenckiego, </w:t>
            </w:r>
            <w:r w:rsidRPr="005924EE">
              <w:br/>
            </w:r>
            <w:r w:rsidRPr="005924EE">
              <w:rPr>
                <w:rFonts w:cs="Arial"/>
                <w:sz w:val="20"/>
              </w:rPr>
              <w:t>1.10      utrzymywanie w pełnej sprawności technicznej aplikacji taryfikacyjnej w tym: aktualizacja stawek, wsparcie użytkownika w wykonywaniu zestawień billingowych dostępnych w systemie taryfikacyjnym,</w:t>
            </w:r>
            <w:r w:rsidRPr="005924EE">
              <w:t xml:space="preserve"> </w:t>
            </w:r>
            <w:r w:rsidRPr="005924EE">
              <w:br/>
            </w:r>
            <w:r w:rsidRPr="005924EE">
              <w:rPr>
                <w:rFonts w:cs="Arial"/>
                <w:sz w:val="20"/>
              </w:rPr>
              <w:t>1.11      naprawa uszkodzonych elementów Urządzenia Abonenckiego,</w:t>
            </w:r>
            <w:r w:rsidRPr="005924EE">
              <w:t xml:space="preserve"> </w:t>
            </w:r>
            <w:r w:rsidRPr="005924EE">
              <w:br/>
            </w:r>
            <w:r w:rsidRPr="005924EE">
              <w:rPr>
                <w:rFonts w:cs="Arial"/>
                <w:sz w:val="20"/>
              </w:rPr>
              <w:t xml:space="preserve">1.12      na każde zgłoszenie przez Zamawiającego: aktualizacja konfiguracji użytkowej, a w szczególności: administrowanie abonentami, wygenerowanie bądź skasowanie abonenta, nadawanie oraz zmiany numeru, nazwy i uprawnień abonenta, tworzenie, dołączanie oraz zmiany grup </w:t>
            </w:r>
            <w:proofErr w:type="spellStart"/>
            <w:r w:rsidRPr="005924EE">
              <w:rPr>
                <w:rFonts w:cs="Arial"/>
                <w:sz w:val="20"/>
              </w:rPr>
              <w:t>pickup’owych</w:t>
            </w:r>
            <w:proofErr w:type="spellEnd"/>
            <w:r w:rsidRPr="005924EE">
              <w:rPr>
                <w:rFonts w:cs="Arial"/>
                <w:sz w:val="20"/>
              </w:rPr>
              <w:t xml:space="preserve"> i </w:t>
            </w:r>
            <w:proofErr w:type="spellStart"/>
            <w:r w:rsidRPr="005924EE">
              <w:rPr>
                <w:rFonts w:cs="Arial"/>
                <w:sz w:val="20"/>
              </w:rPr>
              <w:t>hunting’owych</w:t>
            </w:r>
            <w:proofErr w:type="spellEnd"/>
            <w:r w:rsidRPr="005924EE">
              <w:rPr>
                <w:rFonts w:cs="Arial"/>
                <w:sz w:val="20"/>
              </w:rPr>
              <w:t>, blokowanie i odblokowanie portu abonenckiego, oraz wszelkie inne zmiany mające na celu komfort użytkowników końcowych.</w:t>
            </w:r>
          </w:p>
        </w:tc>
        <w:tc>
          <w:tcPr>
            <w:tcW w:w="1517" w:type="dxa"/>
            <w:tcBorders>
              <w:top w:val="single" w:sz="12" w:space="0" w:color="000080"/>
              <w:bottom w:val="single" w:sz="12" w:space="0" w:color="000080"/>
            </w:tcBorders>
            <w:vAlign w:val="center"/>
          </w:tcPr>
          <w:p w:rsidR="004F16E0" w:rsidRDefault="004F16E0" w:rsidP="004F2C56">
            <w:pPr>
              <w:shd w:val="clear" w:color="auto" w:fill="FFFFFF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TAK</w:t>
            </w:r>
          </w:p>
        </w:tc>
        <w:tc>
          <w:tcPr>
            <w:tcW w:w="1183" w:type="dxa"/>
            <w:tcBorders>
              <w:top w:val="single" w:sz="12" w:space="0" w:color="000080"/>
              <w:bottom w:val="single" w:sz="12" w:space="0" w:color="000080"/>
            </w:tcBorders>
          </w:tcPr>
          <w:p w:rsidR="004F16E0" w:rsidRPr="00FC790D" w:rsidRDefault="004F16E0" w:rsidP="004F2C56">
            <w:pPr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1707" w:type="dxa"/>
            <w:tcBorders>
              <w:top w:val="single" w:sz="12" w:space="0" w:color="000080"/>
              <w:bottom w:val="single" w:sz="12" w:space="0" w:color="000080"/>
              <w:right w:val="single" w:sz="12" w:space="0" w:color="000080"/>
            </w:tcBorders>
          </w:tcPr>
          <w:p w:rsidR="004F16E0" w:rsidRPr="00FC790D" w:rsidRDefault="004F16E0" w:rsidP="004F2C56">
            <w:pPr>
              <w:shd w:val="clear" w:color="auto" w:fill="FFFFFF"/>
              <w:rPr>
                <w:rFonts w:asciiTheme="minorHAnsi" w:hAnsiTheme="minorHAnsi" w:cs="Calibri"/>
                <w:sz w:val="20"/>
              </w:rPr>
            </w:pPr>
          </w:p>
        </w:tc>
      </w:tr>
    </w:tbl>
    <w:p w:rsidR="009C1556" w:rsidRPr="00DF606C" w:rsidRDefault="009C1556" w:rsidP="00DF606C">
      <w:pPr>
        <w:pStyle w:val="Nagwek4"/>
      </w:pPr>
    </w:p>
    <w:sectPr w:rsidR="009C1556" w:rsidRPr="00DF606C" w:rsidSect="00195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5"/>
    <w:lvl w:ilvl="0">
      <w:start w:val="11"/>
      <w:numFmt w:val="bullet"/>
      <w:lvlText w:val=""/>
      <w:lvlJc w:val="left"/>
      <w:pPr>
        <w:tabs>
          <w:tab w:val="num" w:pos="911"/>
        </w:tabs>
        <w:ind w:left="911" w:hanging="454"/>
      </w:pPr>
      <w:rPr>
        <w:rFonts w:ascii="Wingdings" w:hAnsi="Wingdings"/>
      </w:rPr>
    </w:lvl>
  </w:abstractNum>
  <w:abstractNum w:abstractNumId="1" w15:restartNumberingAfterBreak="0">
    <w:nsid w:val="024C46AE"/>
    <w:multiLevelType w:val="multilevel"/>
    <w:tmpl w:val="7D3CE74E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D12A5C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77B02"/>
    <w:multiLevelType w:val="hybridMultilevel"/>
    <w:tmpl w:val="7C928788"/>
    <w:lvl w:ilvl="0" w:tplc="FFFFFFFF">
      <w:start w:val="11"/>
      <w:numFmt w:val="bullet"/>
      <w:lvlText w:val=""/>
      <w:lvlJc w:val="left"/>
      <w:pPr>
        <w:tabs>
          <w:tab w:val="num" w:pos="911"/>
        </w:tabs>
        <w:ind w:left="911" w:hanging="454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3FE279D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C6025"/>
    <w:multiLevelType w:val="hybridMultilevel"/>
    <w:tmpl w:val="B35AFCDC"/>
    <w:lvl w:ilvl="0" w:tplc="78E2F43E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2A635706"/>
    <w:multiLevelType w:val="hybridMultilevel"/>
    <w:tmpl w:val="8E36527A"/>
    <w:lvl w:ilvl="0" w:tplc="0415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2C9632E0"/>
    <w:multiLevelType w:val="hybridMultilevel"/>
    <w:tmpl w:val="D1A66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2D136DF5"/>
    <w:multiLevelType w:val="hybridMultilevel"/>
    <w:tmpl w:val="9D64B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C6306"/>
    <w:multiLevelType w:val="multilevel"/>
    <w:tmpl w:val="4DD42D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DCB05AC"/>
    <w:multiLevelType w:val="hybridMultilevel"/>
    <w:tmpl w:val="214CC632"/>
    <w:lvl w:ilvl="0" w:tplc="9DB0FD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66A51D45"/>
    <w:multiLevelType w:val="multilevel"/>
    <w:tmpl w:val="4E100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AA77AD"/>
    <w:multiLevelType w:val="hybridMultilevel"/>
    <w:tmpl w:val="AE801228"/>
    <w:lvl w:ilvl="0" w:tplc="234C9698">
      <w:start w:val="1"/>
      <w:numFmt w:val="lowerLetter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3" w15:restartNumberingAfterBreak="0">
    <w:nsid w:val="6B417B8D"/>
    <w:multiLevelType w:val="hybridMultilevel"/>
    <w:tmpl w:val="8FA4193E"/>
    <w:lvl w:ilvl="0" w:tplc="0415000D">
      <w:start w:val="1"/>
      <w:numFmt w:val="bullet"/>
      <w:lvlText w:val=""/>
      <w:lvlJc w:val="left"/>
      <w:pPr>
        <w:ind w:left="83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" w15:restartNumberingAfterBreak="0">
    <w:nsid w:val="6B9A403B"/>
    <w:multiLevelType w:val="hybridMultilevel"/>
    <w:tmpl w:val="5DCE39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F528C"/>
    <w:multiLevelType w:val="hybridMultilevel"/>
    <w:tmpl w:val="C66824C8"/>
    <w:lvl w:ilvl="0" w:tplc="9DB0FDCA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6"/>
  </w:num>
  <w:num w:numId="4">
    <w:abstractNumId w:val="10"/>
  </w:num>
  <w:num w:numId="5">
    <w:abstractNumId w:val="2"/>
  </w:num>
  <w:num w:numId="6">
    <w:abstractNumId w:val="13"/>
  </w:num>
  <w:num w:numId="7">
    <w:abstractNumId w:val="0"/>
  </w:num>
  <w:num w:numId="8">
    <w:abstractNumId w:val="8"/>
  </w:num>
  <w:num w:numId="9">
    <w:abstractNumId w:val="11"/>
  </w:num>
  <w:num w:numId="10">
    <w:abstractNumId w:val="4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</w:num>
  <w:num w:numId="14">
    <w:abstractNumId w:val="9"/>
  </w:num>
  <w:num w:numId="15">
    <w:abstractNumId w:val="14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045"/>
    <w:rsid w:val="000028A1"/>
    <w:rsid w:val="00002D32"/>
    <w:rsid w:val="000070EE"/>
    <w:rsid w:val="00012FF1"/>
    <w:rsid w:val="000179DC"/>
    <w:rsid w:val="0002109C"/>
    <w:rsid w:val="0003150B"/>
    <w:rsid w:val="00035715"/>
    <w:rsid w:val="00035859"/>
    <w:rsid w:val="00040A9E"/>
    <w:rsid w:val="0004309A"/>
    <w:rsid w:val="000438A6"/>
    <w:rsid w:val="00050150"/>
    <w:rsid w:val="00055AAF"/>
    <w:rsid w:val="0005709F"/>
    <w:rsid w:val="00061E4E"/>
    <w:rsid w:val="000629F9"/>
    <w:rsid w:val="00067AD2"/>
    <w:rsid w:val="00070615"/>
    <w:rsid w:val="00070FBD"/>
    <w:rsid w:val="00081426"/>
    <w:rsid w:val="00081808"/>
    <w:rsid w:val="00083CEB"/>
    <w:rsid w:val="000842D8"/>
    <w:rsid w:val="00087655"/>
    <w:rsid w:val="00092B08"/>
    <w:rsid w:val="00095907"/>
    <w:rsid w:val="000A0398"/>
    <w:rsid w:val="000A0849"/>
    <w:rsid w:val="000A3C9C"/>
    <w:rsid w:val="000B1B5F"/>
    <w:rsid w:val="000B6928"/>
    <w:rsid w:val="000C0909"/>
    <w:rsid w:val="000C1061"/>
    <w:rsid w:val="000C3019"/>
    <w:rsid w:val="000C44DC"/>
    <w:rsid w:val="000D4B1B"/>
    <w:rsid w:val="000D65B0"/>
    <w:rsid w:val="000E2189"/>
    <w:rsid w:val="000E38B1"/>
    <w:rsid w:val="000E4C84"/>
    <w:rsid w:val="000E5DC6"/>
    <w:rsid w:val="000E7888"/>
    <w:rsid w:val="000F13A8"/>
    <w:rsid w:val="000F524D"/>
    <w:rsid w:val="001006ED"/>
    <w:rsid w:val="0010322A"/>
    <w:rsid w:val="0010422F"/>
    <w:rsid w:val="00104E1B"/>
    <w:rsid w:val="00107716"/>
    <w:rsid w:val="00111691"/>
    <w:rsid w:val="00115BCF"/>
    <w:rsid w:val="00121AC6"/>
    <w:rsid w:val="0013038A"/>
    <w:rsid w:val="00134E26"/>
    <w:rsid w:val="001400F0"/>
    <w:rsid w:val="001419FA"/>
    <w:rsid w:val="00142885"/>
    <w:rsid w:val="00143838"/>
    <w:rsid w:val="00152BA9"/>
    <w:rsid w:val="00153365"/>
    <w:rsid w:val="00154B19"/>
    <w:rsid w:val="001574E8"/>
    <w:rsid w:val="001661A4"/>
    <w:rsid w:val="00166D05"/>
    <w:rsid w:val="00174A56"/>
    <w:rsid w:val="0018048E"/>
    <w:rsid w:val="0018485C"/>
    <w:rsid w:val="00184E50"/>
    <w:rsid w:val="001905EF"/>
    <w:rsid w:val="00193F58"/>
    <w:rsid w:val="00195B1E"/>
    <w:rsid w:val="00195CB3"/>
    <w:rsid w:val="001A1432"/>
    <w:rsid w:val="001B26E2"/>
    <w:rsid w:val="001B2884"/>
    <w:rsid w:val="001B2899"/>
    <w:rsid w:val="001B41FD"/>
    <w:rsid w:val="001B480C"/>
    <w:rsid w:val="001B554B"/>
    <w:rsid w:val="001B583B"/>
    <w:rsid w:val="001C4534"/>
    <w:rsid w:val="001C4D41"/>
    <w:rsid w:val="001D5388"/>
    <w:rsid w:val="001E227C"/>
    <w:rsid w:val="001E293F"/>
    <w:rsid w:val="001E532B"/>
    <w:rsid w:val="001E5D1E"/>
    <w:rsid w:val="001F391C"/>
    <w:rsid w:val="001F4E3A"/>
    <w:rsid w:val="001F5D9D"/>
    <w:rsid w:val="001F63E9"/>
    <w:rsid w:val="00206563"/>
    <w:rsid w:val="00210335"/>
    <w:rsid w:val="00216A4C"/>
    <w:rsid w:val="00216D5D"/>
    <w:rsid w:val="002202F4"/>
    <w:rsid w:val="0022220B"/>
    <w:rsid w:val="002332A3"/>
    <w:rsid w:val="00236FB0"/>
    <w:rsid w:val="00240A1A"/>
    <w:rsid w:val="002425C6"/>
    <w:rsid w:val="00243658"/>
    <w:rsid w:val="00253A06"/>
    <w:rsid w:val="002547C2"/>
    <w:rsid w:val="0025506A"/>
    <w:rsid w:val="00255EC4"/>
    <w:rsid w:val="00256205"/>
    <w:rsid w:val="00256280"/>
    <w:rsid w:val="00260FEE"/>
    <w:rsid w:val="00263A1D"/>
    <w:rsid w:val="00264D53"/>
    <w:rsid w:val="00265CCE"/>
    <w:rsid w:val="00272AD9"/>
    <w:rsid w:val="00273D04"/>
    <w:rsid w:val="00276C6D"/>
    <w:rsid w:val="0028037B"/>
    <w:rsid w:val="00282867"/>
    <w:rsid w:val="00284B9B"/>
    <w:rsid w:val="00285698"/>
    <w:rsid w:val="00285E58"/>
    <w:rsid w:val="0028717A"/>
    <w:rsid w:val="00290805"/>
    <w:rsid w:val="002A51C1"/>
    <w:rsid w:val="002A5387"/>
    <w:rsid w:val="002A6AF7"/>
    <w:rsid w:val="002B3235"/>
    <w:rsid w:val="002C1160"/>
    <w:rsid w:val="002C388E"/>
    <w:rsid w:val="002C5A16"/>
    <w:rsid w:val="002D0A58"/>
    <w:rsid w:val="002D1CD2"/>
    <w:rsid w:val="002D42EF"/>
    <w:rsid w:val="002D447A"/>
    <w:rsid w:val="002E001E"/>
    <w:rsid w:val="002E0E45"/>
    <w:rsid w:val="002E1535"/>
    <w:rsid w:val="002E272B"/>
    <w:rsid w:val="002E2CBF"/>
    <w:rsid w:val="002E5D34"/>
    <w:rsid w:val="002E6B4B"/>
    <w:rsid w:val="002F22A4"/>
    <w:rsid w:val="002F4D00"/>
    <w:rsid w:val="002F4DAC"/>
    <w:rsid w:val="002F755A"/>
    <w:rsid w:val="00302C0C"/>
    <w:rsid w:val="00306563"/>
    <w:rsid w:val="0031562B"/>
    <w:rsid w:val="00320D3C"/>
    <w:rsid w:val="00322490"/>
    <w:rsid w:val="00323ED8"/>
    <w:rsid w:val="003279F7"/>
    <w:rsid w:val="003312B3"/>
    <w:rsid w:val="00331A0D"/>
    <w:rsid w:val="0035007D"/>
    <w:rsid w:val="00350BA3"/>
    <w:rsid w:val="00357F0C"/>
    <w:rsid w:val="00360A89"/>
    <w:rsid w:val="0036216D"/>
    <w:rsid w:val="00364023"/>
    <w:rsid w:val="0036689F"/>
    <w:rsid w:val="00367228"/>
    <w:rsid w:val="003678B3"/>
    <w:rsid w:val="0037027F"/>
    <w:rsid w:val="003863C9"/>
    <w:rsid w:val="00387E78"/>
    <w:rsid w:val="00391DE4"/>
    <w:rsid w:val="00395FBA"/>
    <w:rsid w:val="003A2637"/>
    <w:rsid w:val="003A74BA"/>
    <w:rsid w:val="003B4E3B"/>
    <w:rsid w:val="003B671F"/>
    <w:rsid w:val="003B77E5"/>
    <w:rsid w:val="003B7F17"/>
    <w:rsid w:val="003C2DE0"/>
    <w:rsid w:val="003C5047"/>
    <w:rsid w:val="003D2AB8"/>
    <w:rsid w:val="003D7580"/>
    <w:rsid w:val="003D7C56"/>
    <w:rsid w:val="003E2958"/>
    <w:rsid w:val="003E2D76"/>
    <w:rsid w:val="003E4442"/>
    <w:rsid w:val="003E6347"/>
    <w:rsid w:val="003F08E2"/>
    <w:rsid w:val="003F30F0"/>
    <w:rsid w:val="003F3AC5"/>
    <w:rsid w:val="0040124E"/>
    <w:rsid w:val="00402B88"/>
    <w:rsid w:val="00403080"/>
    <w:rsid w:val="00407B46"/>
    <w:rsid w:val="0041002A"/>
    <w:rsid w:val="00413910"/>
    <w:rsid w:val="004153B9"/>
    <w:rsid w:val="00415773"/>
    <w:rsid w:val="004175D2"/>
    <w:rsid w:val="0042218B"/>
    <w:rsid w:val="004221D3"/>
    <w:rsid w:val="0042749C"/>
    <w:rsid w:val="00430C5B"/>
    <w:rsid w:val="004373A0"/>
    <w:rsid w:val="00437CB2"/>
    <w:rsid w:val="00440838"/>
    <w:rsid w:val="004464F6"/>
    <w:rsid w:val="00450EFB"/>
    <w:rsid w:val="004539A2"/>
    <w:rsid w:val="004548A9"/>
    <w:rsid w:val="00457D68"/>
    <w:rsid w:val="00462A4F"/>
    <w:rsid w:val="00464AC6"/>
    <w:rsid w:val="00465DB5"/>
    <w:rsid w:val="00470518"/>
    <w:rsid w:val="004705D1"/>
    <w:rsid w:val="00471DF5"/>
    <w:rsid w:val="00473B95"/>
    <w:rsid w:val="00480307"/>
    <w:rsid w:val="00481F91"/>
    <w:rsid w:val="004837D6"/>
    <w:rsid w:val="0048633C"/>
    <w:rsid w:val="004870AD"/>
    <w:rsid w:val="004913C1"/>
    <w:rsid w:val="004A48E2"/>
    <w:rsid w:val="004A70FB"/>
    <w:rsid w:val="004B2DC3"/>
    <w:rsid w:val="004B7C30"/>
    <w:rsid w:val="004C19EB"/>
    <w:rsid w:val="004D210E"/>
    <w:rsid w:val="004D6162"/>
    <w:rsid w:val="004D681C"/>
    <w:rsid w:val="004E7A87"/>
    <w:rsid w:val="004F16E0"/>
    <w:rsid w:val="004F7A0F"/>
    <w:rsid w:val="005021A3"/>
    <w:rsid w:val="00504156"/>
    <w:rsid w:val="00504B4B"/>
    <w:rsid w:val="00505360"/>
    <w:rsid w:val="0051030B"/>
    <w:rsid w:val="0051090C"/>
    <w:rsid w:val="00515048"/>
    <w:rsid w:val="005151F3"/>
    <w:rsid w:val="00515B3B"/>
    <w:rsid w:val="00523273"/>
    <w:rsid w:val="00525958"/>
    <w:rsid w:val="00531465"/>
    <w:rsid w:val="005503F5"/>
    <w:rsid w:val="005526B3"/>
    <w:rsid w:val="0056519D"/>
    <w:rsid w:val="0056601C"/>
    <w:rsid w:val="00576229"/>
    <w:rsid w:val="0057672F"/>
    <w:rsid w:val="0057794A"/>
    <w:rsid w:val="00580A0F"/>
    <w:rsid w:val="0058424C"/>
    <w:rsid w:val="0058731A"/>
    <w:rsid w:val="00590720"/>
    <w:rsid w:val="00591D55"/>
    <w:rsid w:val="005924EE"/>
    <w:rsid w:val="00595A9A"/>
    <w:rsid w:val="005A0844"/>
    <w:rsid w:val="005A12C6"/>
    <w:rsid w:val="005A1A0A"/>
    <w:rsid w:val="005A26AA"/>
    <w:rsid w:val="005B1E88"/>
    <w:rsid w:val="005B572A"/>
    <w:rsid w:val="005B6BA1"/>
    <w:rsid w:val="005B7C77"/>
    <w:rsid w:val="005C45DB"/>
    <w:rsid w:val="005D2E5A"/>
    <w:rsid w:val="005D61C5"/>
    <w:rsid w:val="005E7D95"/>
    <w:rsid w:val="005F6530"/>
    <w:rsid w:val="005F666C"/>
    <w:rsid w:val="00600C30"/>
    <w:rsid w:val="0060467F"/>
    <w:rsid w:val="00606375"/>
    <w:rsid w:val="00612117"/>
    <w:rsid w:val="00615318"/>
    <w:rsid w:val="00615B13"/>
    <w:rsid w:val="00617EC3"/>
    <w:rsid w:val="00621C47"/>
    <w:rsid w:val="006236C7"/>
    <w:rsid w:val="00624540"/>
    <w:rsid w:val="00627859"/>
    <w:rsid w:val="006312C3"/>
    <w:rsid w:val="006317EE"/>
    <w:rsid w:val="00636EC3"/>
    <w:rsid w:val="00637BE2"/>
    <w:rsid w:val="00637C18"/>
    <w:rsid w:val="006426FD"/>
    <w:rsid w:val="00644DBF"/>
    <w:rsid w:val="00645275"/>
    <w:rsid w:val="00647172"/>
    <w:rsid w:val="00650BD5"/>
    <w:rsid w:val="006528DD"/>
    <w:rsid w:val="00652E58"/>
    <w:rsid w:val="00653FCC"/>
    <w:rsid w:val="00655C99"/>
    <w:rsid w:val="00656D1A"/>
    <w:rsid w:val="00656F02"/>
    <w:rsid w:val="00666C29"/>
    <w:rsid w:val="0067421C"/>
    <w:rsid w:val="0068030D"/>
    <w:rsid w:val="00680A30"/>
    <w:rsid w:val="006826DB"/>
    <w:rsid w:val="006833C8"/>
    <w:rsid w:val="00683555"/>
    <w:rsid w:val="0068397A"/>
    <w:rsid w:val="00685D68"/>
    <w:rsid w:val="006900F1"/>
    <w:rsid w:val="006915FC"/>
    <w:rsid w:val="006921F6"/>
    <w:rsid w:val="00692BEC"/>
    <w:rsid w:val="00692E46"/>
    <w:rsid w:val="006A0422"/>
    <w:rsid w:val="006A0E1A"/>
    <w:rsid w:val="006A3483"/>
    <w:rsid w:val="006A421C"/>
    <w:rsid w:val="006A5F5E"/>
    <w:rsid w:val="006B0B23"/>
    <w:rsid w:val="006B0DE2"/>
    <w:rsid w:val="006B1BF7"/>
    <w:rsid w:val="006B2A2E"/>
    <w:rsid w:val="006B4080"/>
    <w:rsid w:val="006B6C0A"/>
    <w:rsid w:val="006C2A7C"/>
    <w:rsid w:val="006C39F4"/>
    <w:rsid w:val="006C3BB5"/>
    <w:rsid w:val="006C41DC"/>
    <w:rsid w:val="006C56AF"/>
    <w:rsid w:val="006D1052"/>
    <w:rsid w:val="006E3FE3"/>
    <w:rsid w:val="006E699A"/>
    <w:rsid w:val="006E788B"/>
    <w:rsid w:val="006F0F56"/>
    <w:rsid w:val="006F2022"/>
    <w:rsid w:val="006F2BD2"/>
    <w:rsid w:val="006F2F55"/>
    <w:rsid w:val="006F4368"/>
    <w:rsid w:val="00702A06"/>
    <w:rsid w:val="0070470A"/>
    <w:rsid w:val="0070472F"/>
    <w:rsid w:val="007146F7"/>
    <w:rsid w:val="007208F9"/>
    <w:rsid w:val="007231DC"/>
    <w:rsid w:val="0072514A"/>
    <w:rsid w:val="007258A0"/>
    <w:rsid w:val="00726D85"/>
    <w:rsid w:val="00727060"/>
    <w:rsid w:val="00733D0E"/>
    <w:rsid w:val="00734301"/>
    <w:rsid w:val="0073574D"/>
    <w:rsid w:val="00741B68"/>
    <w:rsid w:val="007434F0"/>
    <w:rsid w:val="00743855"/>
    <w:rsid w:val="00746F89"/>
    <w:rsid w:val="00747673"/>
    <w:rsid w:val="0075011E"/>
    <w:rsid w:val="00755CF2"/>
    <w:rsid w:val="0075796D"/>
    <w:rsid w:val="00767D3E"/>
    <w:rsid w:val="0077235B"/>
    <w:rsid w:val="00772F9E"/>
    <w:rsid w:val="0077516B"/>
    <w:rsid w:val="00781CB4"/>
    <w:rsid w:val="007826DB"/>
    <w:rsid w:val="007867BC"/>
    <w:rsid w:val="00787F34"/>
    <w:rsid w:val="007922D1"/>
    <w:rsid w:val="007956C6"/>
    <w:rsid w:val="00797C67"/>
    <w:rsid w:val="007A0297"/>
    <w:rsid w:val="007A0E04"/>
    <w:rsid w:val="007A21B2"/>
    <w:rsid w:val="007B2E60"/>
    <w:rsid w:val="007B5929"/>
    <w:rsid w:val="007B5C51"/>
    <w:rsid w:val="007B6D30"/>
    <w:rsid w:val="007B7928"/>
    <w:rsid w:val="007C0636"/>
    <w:rsid w:val="007C1E00"/>
    <w:rsid w:val="007C1F4A"/>
    <w:rsid w:val="007C2E52"/>
    <w:rsid w:val="007C3234"/>
    <w:rsid w:val="007C32EE"/>
    <w:rsid w:val="007C3A3E"/>
    <w:rsid w:val="007C5D31"/>
    <w:rsid w:val="007C6AEA"/>
    <w:rsid w:val="007D381B"/>
    <w:rsid w:val="007D7AA2"/>
    <w:rsid w:val="007E3759"/>
    <w:rsid w:val="007F636F"/>
    <w:rsid w:val="00803FDF"/>
    <w:rsid w:val="00804BF2"/>
    <w:rsid w:val="00804D31"/>
    <w:rsid w:val="008111BA"/>
    <w:rsid w:val="00815344"/>
    <w:rsid w:val="00815D25"/>
    <w:rsid w:val="00816271"/>
    <w:rsid w:val="00820C27"/>
    <w:rsid w:val="00823C44"/>
    <w:rsid w:val="00823C8C"/>
    <w:rsid w:val="00827719"/>
    <w:rsid w:val="00830C2D"/>
    <w:rsid w:val="00831D60"/>
    <w:rsid w:val="00833098"/>
    <w:rsid w:val="008345DB"/>
    <w:rsid w:val="00834FE7"/>
    <w:rsid w:val="00837F3B"/>
    <w:rsid w:val="0084299D"/>
    <w:rsid w:val="00843376"/>
    <w:rsid w:val="0085161D"/>
    <w:rsid w:val="0085737B"/>
    <w:rsid w:val="008647C6"/>
    <w:rsid w:val="00864D2B"/>
    <w:rsid w:val="00867E52"/>
    <w:rsid w:val="00873C4D"/>
    <w:rsid w:val="00877A78"/>
    <w:rsid w:val="008866E7"/>
    <w:rsid w:val="008919E8"/>
    <w:rsid w:val="00894525"/>
    <w:rsid w:val="008B6880"/>
    <w:rsid w:val="008B6C56"/>
    <w:rsid w:val="008B7360"/>
    <w:rsid w:val="008D2100"/>
    <w:rsid w:val="008E02A8"/>
    <w:rsid w:val="008E08FB"/>
    <w:rsid w:val="008E110D"/>
    <w:rsid w:val="008E3BEA"/>
    <w:rsid w:val="008F0FD4"/>
    <w:rsid w:val="008F11F1"/>
    <w:rsid w:val="008F57FB"/>
    <w:rsid w:val="008F6326"/>
    <w:rsid w:val="009009CD"/>
    <w:rsid w:val="0090557F"/>
    <w:rsid w:val="009061E2"/>
    <w:rsid w:val="0090670E"/>
    <w:rsid w:val="009174A2"/>
    <w:rsid w:val="00923FA2"/>
    <w:rsid w:val="00930E9F"/>
    <w:rsid w:val="00935C74"/>
    <w:rsid w:val="009401D0"/>
    <w:rsid w:val="00945E57"/>
    <w:rsid w:val="00952838"/>
    <w:rsid w:val="00955928"/>
    <w:rsid w:val="00956104"/>
    <w:rsid w:val="00962768"/>
    <w:rsid w:val="00967586"/>
    <w:rsid w:val="009722B0"/>
    <w:rsid w:val="009736F6"/>
    <w:rsid w:val="00973DE0"/>
    <w:rsid w:val="00980C53"/>
    <w:rsid w:val="009859C7"/>
    <w:rsid w:val="00990885"/>
    <w:rsid w:val="0099258D"/>
    <w:rsid w:val="00994127"/>
    <w:rsid w:val="009942F5"/>
    <w:rsid w:val="00997122"/>
    <w:rsid w:val="009A1829"/>
    <w:rsid w:val="009A57D6"/>
    <w:rsid w:val="009A694D"/>
    <w:rsid w:val="009A70E9"/>
    <w:rsid w:val="009B0C69"/>
    <w:rsid w:val="009B303B"/>
    <w:rsid w:val="009B3AF3"/>
    <w:rsid w:val="009B6191"/>
    <w:rsid w:val="009B78FC"/>
    <w:rsid w:val="009C1064"/>
    <w:rsid w:val="009C1556"/>
    <w:rsid w:val="009C2571"/>
    <w:rsid w:val="009C26D5"/>
    <w:rsid w:val="009C5755"/>
    <w:rsid w:val="009C73D4"/>
    <w:rsid w:val="009D4270"/>
    <w:rsid w:val="009D63DB"/>
    <w:rsid w:val="009D7385"/>
    <w:rsid w:val="009E1A06"/>
    <w:rsid w:val="009E5B5F"/>
    <w:rsid w:val="009F20A6"/>
    <w:rsid w:val="009F30D3"/>
    <w:rsid w:val="009F612F"/>
    <w:rsid w:val="009F7352"/>
    <w:rsid w:val="009F7CBF"/>
    <w:rsid w:val="00A026C5"/>
    <w:rsid w:val="00A04230"/>
    <w:rsid w:val="00A05A1D"/>
    <w:rsid w:val="00A1079B"/>
    <w:rsid w:val="00A161F1"/>
    <w:rsid w:val="00A17178"/>
    <w:rsid w:val="00A20A4F"/>
    <w:rsid w:val="00A210BB"/>
    <w:rsid w:val="00A21278"/>
    <w:rsid w:val="00A22D95"/>
    <w:rsid w:val="00A238C8"/>
    <w:rsid w:val="00A23EA2"/>
    <w:rsid w:val="00A25F4B"/>
    <w:rsid w:val="00A352D3"/>
    <w:rsid w:val="00A3767C"/>
    <w:rsid w:val="00A55B37"/>
    <w:rsid w:val="00A61509"/>
    <w:rsid w:val="00A62CED"/>
    <w:rsid w:val="00A63921"/>
    <w:rsid w:val="00A728F6"/>
    <w:rsid w:val="00A73240"/>
    <w:rsid w:val="00A8159A"/>
    <w:rsid w:val="00A83096"/>
    <w:rsid w:val="00A84001"/>
    <w:rsid w:val="00A91D8A"/>
    <w:rsid w:val="00A938D5"/>
    <w:rsid w:val="00A95691"/>
    <w:rsid w:val="00AA056D"/>
    <w:rsid w:val="00AA1B04"/>
    <w:rsid w:val="00AA1B39"/>
    <w:rsid w:val="00AA5F20"/>
    <w:rsid w:val="00AA70B6"/>
    <w:rsid w:val="00AB23F4"/>
    <w:rsid w:val="00AB5F20"/>
    <w:rsid w:val="00AC427E"/>
    <w:rsid w:val="00AC4795"/>
    <w:rsid w:val="00AC678E"/>
    <w:rsid w:val="00AD62C4"/>
    <w:rsid w:val="00AE0BED"/>
    <w:rsid w:val="00AE190B"/>
    <w:rsid w:val="00AF19B0"/>
    <w:rsid w:val="00AF6BE8"/>
    <w:rsid w:val="00B000D9"/>
    <w:rsid w:val="00B01B8E"/>
    <w:rsid w:val="00B02597"/>
    <w:rsid w:val="00B039F0"/>
    <w:rsid w:val="00B03D82"/>
    <w:rsid w:val="00B05617"/>
    <w:rsid w:val="00B12C55"/>
    <w:rsid w:val="00B21C3B"/>
    <w:rsid w:val="00B23D3D"/>
    <w:rsid w:val="00B25A78"/>
    <w:rsid w:val="00B33D7A"/>
    <w:rsid w:val="00B42C92"/>
    <w:rsid w:val="00B46270"/>
    <w:rsid w:val="00B55096"/>
    <w:rsid w:val="00B618BF"/>
    <w:rsid w:val="00B64E8A"/>
    <w:rsid w:val="00B7105E"/>
    <w:rsid w:val="00B71453"/>
    <w:rsid w:val="00B7286E"/>
    <w:rsid w:val="00B7300C"/>
    <w:rsid w:val="00B7721C"/>
    <w:rsid w:val="00B810D2"/>
    <w:rsid w:val="00B90893"/>
    <w:rsid w:val="00B919BD"/>
    <w:rsid w:val="00B93045"/>
    <w:rsid w:val="00BA025C"/>
    <w:rsid w:val="00BA157A"/>
    <w:rsid w:val="00BA1AC1"/>
    <w:rsid w:val="00BA1B88"/>
    <w:rsid w:val="00BA24AC"/>
    <w:rsid w:val="00BA3747"/>
    <w:rsid w:val="00BA78F9"/>
    <w:rsid w:val="00BB37DA"/>
    <w:rsid w:val="00BB40BF"/>
    <w:rsid w:val="00BB4B59"/>
    <w:rsid w:val="00BB5DDA"/>
    <w:rsid w:val="00BB6DF4"/>
    <w:rsid w:val="00BC284B"/>
    <w:rsid w:val="00BC4262"/>
    <w:rsid w:val="00BC5614"/>
    <w:rsid w:val="00BC6B05"/>
    <w:rsid w:val="00BC76F9"/>
    <w:rsid w:val="00BD1056"/>
    <w:rsid w:val="00BD3929"/>
    <w:rsid w:val="00BD392F"/>
    <w:rsid w:val="00BD4573"/>
    <w:rsid w:val="00BD7CDF"/>
    <w:rsid w:val="00BE07A7"/>
    <w:rsid w:val="00BE4BCD"/>
    <w:rsid w:val="00BE6E33"/>
    <w:rsid w:val="00BF00B8"/>
    <w:rsid w:val="00BF0C8C"/>
    <w:rsid w:val="00BF49EB"/>
    <w:rsid w:val="00BF4C69"/>
    <w:rsid w:val="00BF51D8"/>
    <w:rsid w:val="00BF66FF"/>
    <w:rsid w:val="00C0411F"/>
    <w:rsid w:val="00C044FC"/>
    <w:rsid w:val="00C0485E"/>
    <w:rsid w:val="00C05206"/>
    <w:rsid w:val="00C05A13"/>
    <w:rsid w:val="00C06244"/>
    <w:rsid w:val="00C11CC2"/>
    <w:rsid w:val="00C12043"/>
    <w:rsid w:val="00C1408A"/>
    <w:rsid w:val="00C14B23"/>
    <w:rsid w:val="00C16352"/>
    <w:rsid w:val="00C16BA5"/>
    <w:rsid w:val="00C20BAD"/>
    <w:rsid w:val="00C23B49"/>
    <w:rsid w:val="00C33747"/>
    <w:rsid w:val="00C4226F"/>
    <w:rsid w:val="00C449F2"/>
    <w:rsid w:val="00C50E5A"/>
    <w:rsid w:val="00C515B6"/>
    <w:rsid w:val="00C53346"/>
    <w:rsid w:val="00C5739C"/>
    <w:rsid w:val="00C6144C"/>
    <w:rsid w:val="00C6209A"/>
    <w:rsid w:val="00C6267A"/>
    <w:rsid w:val="00C64CC3"/>
    <w:rsid w:val="00C66FB8"/>
    <w:rsid w:val="00C735F6"/>
    <w:rsid w:val="00C74904"/>
    <w:rsid w:val="00C77716"/>
    <w:rsid w:val="00C7795E"/>
    <w:rsid w:val="00C8159F"/>
    <w:rsid w:val="00C83187"/>
    <w:rsid w:val="00C91C6B"/>
    <w:rsid w:val="00C92CE6"/>
    <w:rsid w:val="00CA19F5"/>
    <w:rsid w:val="00CA1A32"/>
    <w:rsid w:val="00CA2FB5"/>
    <w:rsid w:val="00CA4460"/>
    <w:rsid w:val="00CC12C2"/>
    <w:rsid w:val="00CC5254"/>
    <w:rsid w:val="00CC52B3"/>
    <w:rsid w:val="00CC5E04"/>
    <w:rsid w:val="00CC5E11"/>
    <w:rsid w:val="00CC7814"/>
    <w:rsid w:val="00CD1E1B"/>
    <w:rsid w:val="00CD2002"/>
    <w:rsid w:val="00CD2B4D"/>
    <w:rsid w:val="00CD43F2"/>
    <w:rsid w:val="00CD4872"/>
    <w:rsid w:val="00CD6901"/>
    <w:rsid w:val="00CD728C"/>
    <w:rsid w:val="00CD766B"/>
    <w:rsid w:val="00CE025C"/>
    <w:rsid w:val="00CE130B"/>
    <w:rsid w:val="00CE315D"/>
    <w:rsid w:val="00CE3B01"/>
    <w:rsid w:val="00CF10BF"/>
    <w:rsid w:val="00CF17EA"/>
    <w:rsid w:val="00CF2422"/>
    <w:rsid w:val="00CF7298"/>
    <w:rsid w:val="00D006B3"/>
    <w:rsid w:val="00D01AAC"/>
    <w:rsid w:val="00D03B1C"/>
    <w:rsid w:val="00D0402F"/>
    <w:rsid w:val="00D04342"/>
    <w:rsid w:val="00D04EE4"/>
    <w:rsid w:val="00D1358A"/>
    <w:rsid w:val="00D136AB"/>
    <w:rsid w:val="00D14843"/>
    <w:rsid w:val="00D17A71"/>
    <w:rsid w:val="00D17AFD"/>
    <w:rsid w:val="00D21E52"/>
    <w:rsid w:val="00D22D17"/>
    <w:rsid w:val="00D25CF3"/>
    <w:rsid w:val="00D303A0"/>
    <w:rsid w:val="00D31636"/>
    <w:rsid w:val="00D32BF2"/>
    <w:rsid w:val="00D42D8E"/>
    <w:rsid w:val="00D46448"/>
    <w:rsid w:val="00D46FD0"/>
    <w:rsid w:val="00D5355D"/>
    <w:rsid w:val="00D62A2A"/>
    <w:rsid w:val="00D6486A"/>
    <w:rsid w:val="00D64B8F"/>
    <w:rsid w:val="00D650FC"/>
    <w:rsid w:val="00D67A2C"/>
    <w:rsid w:val="00D7245D"/>
    <w:rsid w:val="00D763F2"/>
    <w:rsid w:val="00D76610"/>
    <w:rsid w:val="00D774A8"/>
    <w:rsid w:val="00D775C1"/>
    <w:rsid w:val="00D863B0"/>
    <w:rsid w:val="00D92514"/>
    <w:rsid w:val="00DA0B3E"/>
    <w:rsid w:val="00DA5963"/>
    <w:rsid w:val="00DA7D4B"/>
    <w:rsid w:val="00DA7E87"/>
    <w:rsid w:val="00DB31A7"/>
    <w:rsid w:val="00DB3455"/>
    <w:rsid w:val="00DB393F"/>
    <w:rsid w:val="00DB459D"/>
    <w:rsid w:val="00DB74C9"/>
    <w:rsid w:val="00DC1D14"/>
    <w:rsid w:val="00DC6A75"/>
    <w:rsid w:val="00DC7B78"/>
    <w:rsid w:val="00DD39C2"/>
    <w:rsid w:val="00DD7D6C"/>
    <w:rsid w:val="00DE1299"/>
    <w:rsid w:val="00DE255C"/>
    <w:rsid w:val="00DE398F"/>
    <w:rsid w:val="00DE7B08"/>
    <w:rsid w:val="00DE7E07"/>
    <w:rsid w:val="00DF275D"/>
    <w:rsid w:val="00DF606C"/>
    <w:rsid w:val="00DF7E39"/>
    <w:rsid w:val="00E06D41"/>
    <w:rsid w:val="00E11B74"/>
    <w:rsid w:val="00E132FD"/>
    <w:rsid w:val="00E22056"/>
    <w:rsid w:val="00E2552E"/>
    <w:rsid w:val="00E3131C"/>
    <w:rsid w:val="00E316FA"/>
    <w:rsid w:val="00E3351A"/>
    <w:rsid w:val="00E34495"/>
    <w:rsid w:val="00E4513F"/>
    <w:rsid w:val="00E51483"/>
    <w:rsid w:val="00E51E61"/>
    <w:rsid w:val="00E526CD"/>
    <w:rsid w:val="00E53A7D"/>
    <w:rsid w:val="00E60B14"/>
    <w:rsid w:val="00E62DD9"/>
    <w:rsid w:val="00E70CAF"/>
    <w:rsid w:val="00E72EE8"/>
    <w:rsid w:val="00E7398A"/>
    <w:rsid w:val="00E8190A"/>
    <w:rsid w:val="00E857BB"/>
    <w:rsid w:val="00E96191"/>
    <w:rsid w:val="00EA0D1A"/>
    <w:rsid w:val="00EA6FB5"/>
    <w:rsid w:val="00EA6FD1"/>
    <w:rsid w:val="00EA7602"/>
    <w:rsid w:val="00EB2301"/>
    <w:rsid w:val="00EB25B1"/>
    <w:rsid w:val="00EB7E7F"/>
    <w:rsid w:val="00EC2323"/>
    <w:rsid w:val="00EC64FA"/>
    <w:rsid w:val="00ED75B7"/>
    <w:rsid w:val="00EE54E1"/>
    <w:rsid w:val="00EE5ED0"/>
    <w:rsid w:val="00EE65AC"/>
    <w:rsid w:val="00EF055E"/>
    <w:rsid w:val="00EF06E7"/>
    <w:rsid w:val="00EF596A"/>
    <w:rsid w:val="00F009EC"/>
    <w:rsid w:val="00F05C9D"/>
    <w:rsid w:val="00F065B0"/>
    <w:rsid w:val="00F0761D"/>
    <w:rsid w:val="00F26289"/>
    <w:rsid w:val="00F33F36"/>
    <w:rsid w:val="00F36F25"/>
    <w:rsid w:val="00F42E0A"/>
    <w:rsid w:val="00F46354"/>
    <w:rsid w:val="00F470C5"/>
    <w:rsid w:val="00F55284"/>
    <w:rsid w:val="00F63F96"/>
    <w:rsid w:val="00F670CB"/>
    <w:rsid w:val="00F70B32"/>
    <w:rsid w:val="00F775D9"/>
    <w:rsid w:val="00F82E74"/>
    <w:rsid w:val="00F84A82"/>
    <w:rsid w:val="00F9258A"/>
    <w:rsid w:val="00F9298F"/>
    <w:rsid w:val="00F94393"/>
    <w:rsid w:val="00F95248"/>
    <w:rsid w:val="00FA1A15"/>
    <w:rsid w:val="00FA3AD7"/>
    <w:rsid w:val="00FB0B5E"/>
    <w:rsid w:val="00FC51AD"/>
    <w:rsid w:val="00FC790D"/>
    <w:rsid w:val="00FC7B6C"/>
    <w:rsid w:val="00FD0F71"/>
    <w:rsid w:val="00FD2EC5"/>
    <w:rsid w:val="00FD32CF"/>
    <w:rsid w:val="00FD3BC1"/>
    <w:rsid w:val="00FD5A13"/>
    <w:rsid w:val="00FD6EB3"/>
    <w:rsid w:val="00FE5F3B"/>
    <w:rsid w:val="00FE70D2"/>
    <w:rsid w:val="00FF011C"/>
    <w:rsid w:val="00FF021E"/>
    <w:rsid w:val="00FF02EF"/>
    <w:rsid w:val="00FF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988A07-8D3B-4B88-8E13-41F1AC4B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304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93045"/>
    <w:pPr>
      <w:keepNext/>
      <w:outlineLvl w:val="3"/>
    </w:pPr>
    <w:rPr>
      <w:rFonts w:ascii="Calibri" w:hAnsi="Calibri" w:cs="Calibri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B93045"/>
    <w:rPr>
      <w:rFonts w:ascii="Calibri" w:eastAsia="Times New Roman" w:hAnsi="Calibri" w:cs="Calibri"/>
      <w:b/>
      <w:sz w:val="28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B9304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9304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ela1a">
    <w:name w:val="Tabela1a"/>
    <w:basedOn w:val="Tabela1"/>
    <w:rsid w:val="00B93045"/>
    <w:pPr>
      <w:ind w:left="0" w:right="57"/>
      <w:jc w:val="right"/>
    </w:pPr>
  </w:style>
  <w:style w:type="paragraph" w:customStyle="1" w:styleId="Tabela1">
    <w:name w:val="Tabela1"/>
    <w:basedOn w:val="Normalny"/>
    <w:rsid w:val="00B93045"/>
    <w:pPr>
      <w:widowControl w:val="0"/>
      <w:overflowPunct w:val="0"/>
      <w:autoSpaceDE w:val="0"/>
      <w:autoSpaceDN w:val="0"/>
      <w:adjustRightInd w:val="0"/>
      <w:spacing w:before="20" w:after="20"/>
      <w:ind w:left="113"/>
      <w:textAlignment w:val="baseline"/>
    </w:pPr>
    <w:rPr>
      <w:rFonts w:ascii="Times New Roman" w:hAnsi="Times New Roman"/>
      <w:sz w:val="22"/>
    </w:rPr>
  </w:style>
  <w:style w:type="table" w:styleId="Tabela-Siatka">
    <w:name w:val="Table Grid"/>
    <w:basedOn w:val="Standardowy"/>
    <w:uiPriority w:val="59"/>
    <w:rsid w:val="00650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50B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BD5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A20A4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85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8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85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23EA2"/>
    <w:pPr>
      <w:ind w:left="720"/>
      <w:contextualSpacing/>
    </w:pPr>
    <w:rPr>
      <w:rFonts w:ascii="Times New Roman" w:hAnsi="Times New Roman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2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91110">
                  <w:marLeft w:val="150"/>
                  <w:marRight w:val="15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17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81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283F5-6819-431D-8A82-F660F7BB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2131</Words>
  <Characters>12788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Informatyki, Politechnika Poznańska</Company>
  <LinksUpToDate>false</LinksUpToDate>
  <CharactersWithSpaces>14890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paulinak</dc:creator>
  <cp:lastModifiedBy>user</cp:lastModifiedBy>
  <cp:revision>5</cp:revision>
  <cp:lastPrinted>2015-11-20T10:54:00Z</cp:lastPrinted>
  <dcterms:created xsi:type="dcterms:W3CDTF">2015-11-20T11:18:00Z</dcterms:created>
  <dcterms:modified xsi:type="dcterms:W3CDTF">2015-11-20T13:51:00Z</dcterms:modified>
</cp:coreProperties>
</file>